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>ATA DE REGISTRO DE PREÇOS</w:t>
      </w:r>
    </w:p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Nº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03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/2019/SMPOP/DCL</w:t>
      </w:r>
    </w:p>
    <w:p w:rsidR="00B666B5" w:rsidRDefault="00B666B5" w:rsidP="00B666B5">
      <w:pPr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PREGÃO PRESENCIAL Nº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10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/2019/PP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Ata de Registro de Preço, que entre si fazem o MUNICÍPIO DE SÃO BORJA, aqui representado pelo Prefeito Municipal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EDUARDO BONOTTO</w:t>
      </w:r>
      <w:r>
        <w:rPr>
          <w:rFonts w:ascii="Arial" w:hAnsi="Arial" w:cs="Arial"/>
          <w:color w:val="000000"/>
          <w:sz w:val="21"/>
          <w:szCs w:val="21"/>
        </w:rPr>
        <w:t xml:space="preserve">, inscrito no CNPJ/MF sob nº 88.489.786/0001-01, com sede na Av. Aparício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Mariense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2751,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PREFEITO</w:t>
      </w:r>
      <w:r>
        <w:rPr>
          <w:rFonts w:ascii="Arial" w:hAnsi="Arial" w:cs="Arial"/>
          <w:b/>
          <w:color w:val="000000"/>
          <w:sz w:val="21"/>
          <w:szCs w:val="21"/>
        </w:rPr>
        <w:t xml:space="preserve"> MUNICIPAL,</w:t>
      </w:r>
      <w:r>
        <w:rPr>
          <w:rFonts w:ascii="Arial" w:hAnsi="Arial" w:cs="Arial"/>
          <w:color w:val="000000"/>
          <w:sz w:val="21"/>
          <w:szCs w:val="21"/>
        </w:rPr>
        <w:t xml:space="preserve"> e de outro lado a empresa </w:t>
      </w:r>
      <w:r>
        <w:rPr>
          <w:rFonts w:ascii="Arial" w:hAnsi="Arial" w:cs="Arial"/>
          <w:b/>
          <w:bCs/>
          <w:color w:val="000000"/>
          <w:sz w:val="21"/>
          <w:szCs w:val="21"/>
        </w:rPr>
        <w:t>VER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Ô</w:t>
      </w:r>
      <w:r>
        <w:rPr>
          <w:rFonts w:ascii="Arial" w:hAnsi="Arial" w:cs="Arial"/>
          <w:b/>
          <w:bCs/>
          <w:color w:val="000000"/>
          <w:sz w:val="21"/>
          <w:szCs w:val="21"/>
        </w:rPr>
        <w:t>NICA MARIA FERREIRA DE ALBUQUERQUE</w:t>
      </w:r>
      <w:r>
        <w:rPr>
          <w:rFonts w:ascii="Arial" w:hAnsi="Arial" w:cs="Arial"/>
          <w:color w:val="000000"/>
          <w:sz w:val="21"/>
          <w:szCs w:val="21"/>
        </w:rPr>
        <w:t xml:space="preserve">, inscrita no CNPJ nº 14.682.896/0001-40, com sede na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rua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Alberto Silva, nº 835, loja 2, vila Ipiranga, na cidade de Porto Alegre/RS, vencedora e adjudicatária do pregão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por seu representante legal </w:t>
      </w:r>
      <w:r>
        <w:rPr>
          <w:rFonts w:ascii="Arial" w:hAnsi="Arial" w:cs="Arial"/>
          <w:b/>
          <w:color w:val="000000"/>
          <w:sz w:val="21"/>
          <w:szCs w:val="21"/>
        </w:rPr>
        <w:t>TIAGO DANIEL IZOLAN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inscrito no CPF nº 014.064.730-90, Carteira de Identidade RG Nº 6096814055,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FORNECEDOR</w:t>
      </w:r>
      <w:r>
        <w:rPr>
          <w:rFonts w:ascii="Arial" w:hAnsi="Arial" w:cs="Arial"/>
          <w:b/>
          <w:bCs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 xml:space="preserve"> acordaram em celebrar o presente instrumento, obedecidas as condições constantes no edital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 Ata de Reunião de Julgamento de Proposta, documentos estes que fazem parte integrante do presente contrato em todos os seus conteúdos mediante as seguintes cláusulas e condições: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PRIMEIRA – Do Objeto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1.1.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tem por objeto o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registro de preço para </w:t>
      </w:r>
      <w:r w:rsidR="00FB3937">
        <w:rPr>
          <w:rFonts w:ascii="Arial" w:hAnsi="Arial" w:cs="Arial"/>
          <w:b/>
          <w:bCs/>
          <w:color w:val="000000"/>
          <w:sz w:val="21"/>
          <w:szCs w:val="21"/>
        </w:rPr>
        <w:t xml:space="preserve">Brinquedos para as </w:t>
      </w:r>
      <w:proofErr w:type="spellStart"/>
      <w:r w:rsidR="00FB3937">
        <w:rPr>
          <w:rFonts w:ascii="Arial" w:hAnsi="Arial" w:cs="Arial"/>
          <w:b/>
          <w:bCs/>
          <w:color w:val="000000"/>
          <w:sz w:val="21"/>
          <w:szCs w:val="21"/>
        </w:rPr>
        <w:t>EMEI’s</w:t>
      </w:r>
      <w:proofErr w:type="spellEnd"/>
      <w:r w:rsidR="00FB3937">
        <w:rPr>
          <w:rFonts w:ascii="Arial" w:hAnsi="Arial" w:cs="Arial"/>
          <w:b/>
          <w:bCs/>
          <w:color w:val="000000"/>
          <w:sz w:val="21"/>
          <w:szCs w:val="21"/>
        </w:rPr>
        <w:t xml:space="preserve"> e </w:t>
      </w:r>
      <w:proofErr w:type="spellStart"/>
      <w:r w:rsidR="00FB3937">
        <w:rPr>
          <w:rFonts w:ascii="Arial" w:hAnsi="Arial" w:cs="Arial"/>
          <w:b/>
          <w:bCs/>
          <w:color w:val="000000"/>
          <w:sz w:val="21"/>
          <w:szCs w:val="21"/>
        </w:rPr>
        <w:t>EMEF’s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SEGUNDA – Da Vigência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de Registro de preços vigorará pelo prazo de 12 (doze) meses, a partir da data de sua assinatura.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2.2. </w:t>
      </w:r>
      <w:r>
        <w:rPr>
          <w:rFonts w:ascii="Arial" w:hAnsi="Arial" w:cs="Arial"/>
          <w:color w:val="000000"/>
          <w:sz w:val="21"/>
          <w:szCs w:val="21"/>
        </w:rPr>
        <w:t>Nos termos do art. 15 § 4º da Lei nº 8.666/93, da Lei Municipal 3.025/2002 e do Decreto Municipal nº 8.497/2002, o CONTRATANTE não está obrigado a adquirir exclusivamente por intermédio dessa Ata, durante o seu período de vigência, os produtos cujos preços nela estejam registrados, podendo adotar para tanto uma licitação específica, assegurando-se, todavia, a preferência de fornecimento aos registrados, no caso de igualdade de condições.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TERCEIRA – Dos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3.1.</w:t>
      </w:r>
      <w:r>
        <w:rPr>
          <w:rFonts w:ascii="Arial" w:hAnsi="Arial" w:cs="Arial"/>
          <w:color w:val="000000"/>
          <w:sz w:val="21"/>
          <w:szCs w:val="21"/>
        </w:rPr>
        <w:t xml:space="preserve"> Os preços ofertados pela CONTRATADA seguem detalhados na Ata de Julgamento, parte integrante deste, acumulando um total de 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R$ </w:t>
      </w:r>
      <w:r w:rsidR="00E14B34">
        <w:rPr>
          <w:rFonts w:ascii="Arial" w:hAnsi="Arial" w:cs="Arial"/>
          <w:b/>
          <w:bCs/>
          <w:color w:val="000000"/>
          <w:sz w:val="21"/>
          <w:szCs w:val="21"/>
        </w:rPr>
        <w:t>36.005,40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(</w:t>
      </w:r>
      <w:r w:rsidR="00E14B34">
        <w:rPr>
          <w:rFonts w:ascii="Arial" w:hAnsi="Arial" w:cs="Arial"/>
          <w:b/>
          <w:bCs/>
          <w:color w:val="000000"/>
          <w:sz w:val="21"/>
          <w:szCs w:val="21"/>
        </w:rPr>
        <w:t>trinta e seis mil, cinco reais com quarenta centavos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), </w:t>
      </w:r>
      <w:r>
        <w:rPr>
          <w:rFonts w:ascii="Arial" w:hAnsi="Arial" w:cs="Arial"/>
          <w:color w:val="000000"/>
          <w:sz w:val="21"/>
          <w:szCs w:val="21"/>
        </w:rPr>
        <w:t>conforme descrições detalhadas: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3.2.</w:t>
      </w:r>
      <w:r>
        <w:rPr>
          <w:rFonts w:ascii="Arial" w:hAnsi="Arial" w:cs="Arial"/>
          <w:color w:val="000000"/>
          <w:sz w:val="21"/>
          <w:szCs w:val="21"/>
        </w:rPr>
        <w:t xml:space="preserve"> Os preços, as descrições e quantidades são as seguintes:</w:t>
      </w:r>
    </w:p>
    <w:tbl>
      <w:tblPr>
        <w:tblW w:w="931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9"/>
        <w:gridCol w:w="645"/>
        <w:gridCol w:w="850"/>
        <w:gridCol w:w="3991"/>
        <w:gridCol w:w="1677"/>
        <w:gridCol w:w="1532"/>
      </w:tblGrid>
      <w:tr w:rsidR="00B666B5" w:rsidTr="00FB3937">
        <w:trPr>
          <w:jc w:val="center"/>
        </w:trPr>
        <w:tc>
          <w:tcPr>
            <w:tcW w:w="6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Item </w:t>
            </w:r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Und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Quant.</w:t>
            </w:r>
          </w:p>
        </w:tc>
        <w:tc>
          <w:tcPr>
            <w:tcW w:w="3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Descrição/Objeto</w:t>
            </w:r>
          </w:p>
        </w:tc>
        <w:tc>
          <w:tcPr>
            <w:tcW w:w="1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Unitário R$</w:t>
            </w:r>
          </w:p>
        </w:tc>
        <w:tc>
          <w:tcPr>
            <w:tcW w:w="153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Total R$</w:t>
            </w:r>
          </w:p>
        </w:tc>
      </w:tr>
      <w:tr w:rsidR="00FB3937" w:rsidTr="00FB3937">
        <w:trPr>
          <w:jc w:val="center"/>
        </w:trPr>
        <w:tc>
          <w:tcPr>
            <w:tcW w:w="61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proofErr w:type="gramStart"/>
            <w:r>
              <w:t>5</w:t>
            </w:r>
            <w:proofErr w:type="gramEnd"/>
          </w:p>
        </w:tc>
        <w:tc>
          <w:tcPr>
            <w:tcW w:w="6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70</w:t>
            </w:r>
          </w:p>
        </w:tc>
        <w:tc>
          <w:tcPr>
            <w:tcW w:w="39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Jogos de montar tipo lego c/ 50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pç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grande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77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t>85,25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r>
              <w:t>5.967,50</w:t>
            </w:r>
          </w:p>
        </w:tc>
      </w:tr>
      <w:tr w:rsidR="00FB3937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ind w:left="-33" w:right="-3"/>
              <w:jc w:val="both"/>
            </w:pP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Carrinho de plástico tamanho 28x13x12 cm"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pPr>
              <w:snapToGrid w:val="0"/>
              <w:jc w:val="center"/>
            </w:pPr>
            <w:r>
              <w:t>17,34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r>
              <w:t>1.907,40</w:t>
            </w:r>
          </w:p>
        </w:tc>
      </w:tr>
      <w:tr w:rsidR="00FB3937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t>12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Mesa de atividades para bebês, dimensões do produto (LXAXP em mm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ab/>
              <w:t>500x310x420, possui engrenagens e peças giratórias.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pPr>
              <w:snapToGrid w:val="0"/>
              <w:jc w:val="center"/>
            </w:pPr>
            <w:r>
              <w:t>118,95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r>
              <w:t>3.568,50</w:t>
            </w:r>
          </w:p>
        </w:tc>
      </w:tr>
      <w:tr w:rsidR="00FB3937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t>14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Centro de atividade infantil, o brinquedo deve possuir espelho, peças que fazem movimentos como asas de borboletas, abelhas e peças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laterias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que giram.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pPr>
              <w:snapToGrid w:val="0"/>
              <w:jc w:val="center"/>
            </w:pPr>
            <w:r>
              <w:t>182,95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r>
              <w:t>4.024,90</w:t>
            </w:r>
          </w:p>
        </w:tc>
      </w:tr>
      <w:tr w:rsidR="00FB3937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lastRenderedPageBreak/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8</w:t>
            </w:r>
            <w:proofErr w:type="gramEnd"/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Playground c/escorregador.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Dimensões (LXAXP): 80 x 110x 200)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ideal p/crianças de 01 a 03 anos. 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Módulo em forma quadrada c/escada e escorregador."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pPr>
              <w:snapToGrid w:val="0"/>
              <w:jc w:val="center"/>
            </w:pPr>
            <w:r>
              <w:t>1.388,90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r>
              <w:t>11.111,20</w:t>
            </w:r>
          </w:p>
        </w:tc>
      </w:tr>
      <w:tr w:rsidR="00FB3937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t>21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88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Carrinho de boneca em metal pequeno.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pPr>
              <w:snapToGrid w:val="0"/>
              <w:jc w:val="center"/>
            </w:pPr>
            <w:r>
              <w:t>46,00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r>
              <w:t>4.048,00</w:t>
            </w:r>
          </w:p>
        </w:tc>
      </w:tr>
      <w:tr w:rsidR="00FB3937" w:rsidTr="00A4708C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t>24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B3937" w:rsidRDefault="00FB3937" w:rsidP="000451D0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Escorregador pequeno p/crianças de 01 a 03 anos.  Medidas: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>altura: 1,25m.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pPr>
              <w:snapToGrid w:val="0"/>
              <w:jc w:val="center"/>
            </w:pPr>
            <w:r>
              <w:t>488,90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937" w:rsidRDefault="00A4708C" w:rsidP="000451D0">
            <w:r>
              <w:t>5.377,90</w:t>
            </w:r>
          </w:p>
        </w:tc>
      </w:tr>
      <w:tr w:rsidR="00A4708C" w:rsidTr="0026268E">
        <w:trPr>
          <w:jc w:val="center"/>
        </w:trPr>
        <w:tc>
          <w:tcPr>
            <w:tcW w:w="7782" w:type="dxa"/>
            <w:gridSpan w:val="5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4708C" w:rsidRDefault="00A4708C" w:rsidP="000451D0">
            <w:pPr>
              <w:snapToGrid w:val="0"/>
              <w:jc w:val="center"/>
            </w:pPr>
            <w:r>
              <w:t>TOTAL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08C" w:rsidRPr="00E14B34" w:rsidRDefault="00A4708C" w:rsidP="000451D0">
            <w:pPr>
              <w:rPr>
                <w:b/>
              </w:rPr>
            </w:pPr>
            <w:r w:rsidRPr="00E14B34">
              <w:rPr>
                <w:b/>
              </w:rPr>
              <w:t>36.005,40</w:t>
            </w:r>
          </w:p>
        </w:tc>
      </w:tr>
    </w:tbl>
    <w:p w:rsidR="00B666B5" w:rsidRDefault="00B666B5" w:rsidP="00B666B5">
      <w:pPr>
        <w:jc w:val="both"/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QUARTA – Das Condições De Fornecimento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4.1. </w:t>
      </w:r>
      <w:r>
        <w:rPr>
          <w:rFonts w:ascii="Arial" w:hAnsi="Arial" w:cs="Arial"/>
          <w:color w:val="000000"/>
          <w:sz w:val="21"/>
          <w:szCs w:val="21"/>
        </w:rPr>
        <w:t>A CONTRATADA obriga-se a dar prioridade no atendimento a CONTRATANTE, bem como, executar o objeto contratado de forma imediata, conforme especificado nos termos do edital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e inclusive em conformidade com a Ata de Julgamento, bem como de acordo com o que preceitua o Código Defesa Consumidor;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color w:val="000000"/>
          <w:sz w:val="21"/>
          <w:szCs w:val="21"/>
        </w:rPr>
        <w:tab/>
        <w:t xml:space="preserve">4.2. </w:t>
      </w:r>
      <w:r>
        <w:rPr>
          <w:rFonts w:ascii="Arial" w:hAnsi="Arial" w:cs="Arial"/>
          <w:color w:val="000000"/>
          <w:sz w:val="21"/>
          <w:szCs w:val="21"/>
        </w:rPr>
        <w:t>Toda e qualquer despesa relativa à execução do objeto da presente Ata, correrá por conta exclusiva da CONTRATADA.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4.3.</w:t>
      </w:r>
      <w:r>
        <w:rPr>
          <w:rFonts w:ascii="Arial" w:hAnsi="Arial" w:cs="Arial"/>
          <w:color w:val="000000"/>
          <w:sz w:val="21"/>
          <w:szCs w:val="21"/>
        </w:rPr>
        <w:t xml:space="preserve"> Deverá ser emitida a devida Nota fiscal/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fatura discriminativa, após a entrega dos produtos para efetivação do pagamento e liquidação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4.4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recusado o objeto que não atender às especificações constantes na presente Ata.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4.5.</w:t>
      </w:r>
      <w:r>
        <w:rPr>
          <w:rFonts w:ascii="Arial" w:hAnsi="Arial" w:cs="Arial"/>
          <w:color w:val="000000"/>
          <w:sz w:val="21"/>
          <w:szCs w:val="21"/>
        </w:rPr>
        <w:t xml:space="preserve"> Dentro do prazo de vigência contratual, a CONTRATADA está obrigada ao executar o objeto contratado, desde que obedecidas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condições do Pregão, conforme previsão do edital que precedeu a formalização dessa Ata.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4.6. </w:t>
      </w:r>
      <w:r>
        <w:rPr>
          <w:rFonts w:ascii="Arial" w:hAnsi="Arial" w:cs="Arial"/>
          <w:color w:val="000000"/>
          <w:sz w:val="21"/>
          <w:szCs w:val="21"/>
        </w:rPr>
        <w:t>A recusa da CONTRATADA em atender à substituição, levará à aplicação das sanções previstas por inadimplemento.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4.7. </w:t>
      </w:r>
      <w:r>
        <w:rPr>
          <w:rFonts w:ascii="Arial" w:hAnsi="Arial" w:cs="Arial"/>
          <w:color w:val="000000"/>
          <w:sz w:val="21"/>
          <w:szCs w:val="21"/>
        </w:rPr>
        <w:t>A Secretaria Municipal de Planejamento, Orçamento e Projetos - SMPOP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 poderá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promover ampla pesquisa no mercado, de forma a comprovar que os preços registrados permanecem compatíveis com os nele praticados, condição indispensável para a solicitação da aquisição.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QUINTA – Das Condições de Pagamento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5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.1. </w:t>
      </w:r>
      <w:r>
        <w:rPr>
          <w:rFonts w:ascii="Arial" w:hAnsi="Arial" w:cs="Arial"/>
          <w:color w:val="000000"/>
          <w:sz w:val="21"/>
          <w:szCs w:val="21"/>
        </w:rPr>
        <w:t>Cumpridas as obrigações contratuais dispostas neste instrumento e no edital do Pregão, o pagamento será efetuado pela CONTRATANTE em até 30 (trinta) dias após a data da solicitação pela secretaria requisitante.</w:t>
      </w:r>
    </w:p>
    <w:p w:rsidR="00B666B5" w:rsidRDefault="00B666B5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5.2. </w:t>
      </w:r>
      <w:r>
        <w:rPr>
          <w:rFonts w:ascii="Arial" w:hAnsi="Arial" w:cs="Arial"/>
          <w:bCs/>
          <w:color w:val="000000"/>
          <w:sz w:val="21"/>
          <w:szCs w:val="21"/>
        </w:rPr>
        <w:t>A presente despesa será suportada pela(s) segui</w:t>
      </w:r>
      <w:r w:rsidR="008E3B24">
        <w:rPr>
          <w:rFonts w:ascii="Arial" w:hAnsi="Arial" w:cs="Arial"/>
          <w:bCs/>
          <w:color w:val="000000"/>
          <w:sz w:val="21"/>
          <w:szCs w:val="21"/>
        </w:rPr>
        <w:t>nte(s) rubrica(s) do ano de 2019</w:t>
      </w:r>
      <w:r>
        <w:rPr>
          <w:rFonts w:ascii="Arial" w:hAnsi="Arial" w:cs="Arial"/>
          <w:bCs/>
          <w:color w:val="000000"/>
          <w:sz w:val="21"/>
          <w:szCs w:val="21"/>
        </w:rPr>
        <w:t>, cujo elemento é:</w:t>
      </w:r>
      <w:proofErr w:type="gramStart"/>
      <w:r>
        <w:rPr>
          <w:rFonts w:ascii="Arial" w:hAnsi="Arial" w:cs="Arial"/>
          <w:bCs/>
          <w:color w:val="000000"/>
          <w:sz w:val="21"/>
          <w:szCs w:val="21"/>
        </w:rPr>
        <w:t xml:space="preserve">  </w:t>
      </w:r>
    </w:p>
    <w:p w:rsidR="008E3B24" w:rsidRDefault="008E3B24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  <w:proofErr w:type="gramEnd"/>
    </w:p>
    <w:p w:rsidR="008E3B24" w:rsidRPr="001B1AEE" w:rsidRDefault="008E3B24" w:rsidP="008E3B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22"/>
        <w:jc w:val="center"/>
        <w:rPr>
          <w:b/>
        </w:rPr>
      </w:pPr>
      <w:r w:rsidRPr="001B1AEE">
        <w:rPr>
          <w:b/>
        </w:rPr>
        <w:t>3.3.90.30.20.00.00.00</w:t>
      </w:r>
    </w:p>
    <w:p w:rsidR="008E3B24" w:rsidRDefault="008E3B24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</w:p>
    <w:p w:rsidR="008E3B24" w:rsidRDefault="008E3B24" w:rsidP="00B666B5">
      <w:pPr>
        <w:ind w:right="22"/>
        <w:jc w:val="both"/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5.3. </w:t>
      </w:r>
      <w:r>
        <w:rPr>
          <w:rFonts w:ascii="Arial" w:hAnsi="Arial" w:cs="Arial"/>
          <w:color w:val="000000"/>
          <w:sz w:val="21"/>
          <w:szCs w:val="21"/>
        </w:rPr>
        <w:t xml:space="preserve">O CNPJ/MF constante da Nota Fiscal deverá ser o mesmo indicado na proposta,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não ser efetuado o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5.4.</w:t>
      </w:r>
      <w:r>
        <w:rPr>
          <w:rFonts w:ascii="Arial" w:hAnsi="Arial" w:cs="Arial"/>
          <w:color w:val="000000"/>
          <w:sz w:val="21"/>
          <w:szCs w:val="21"/>
        </w:rPr>
        <w:t xml:space="preserve"> Nenhum pagamento será efetuado enquanto pendente de liquidação qualquer obrigação financeira que tenha sido imposta à CONTRATADA pela CONTRATANTE, em decorrência de penalidade ou inadimplência, nos termos da legislação vigente.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SEXTA – Da Entrega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6.1.</w:t>
      </w:r>
      <w:r>
        <w:rPr>
          <w:rFonts w:ascii="Arial" w:hAnsi="Arial" w:cs="Arial"/>
          <w:color w:val="000000"/>
          <w:sz w:val="21"/>
          <w:szCs w:val="21"/>
        </w:rPr>
        <w:t xml:space="preserve"> Obriga-se a CONTRATADA a executar o objeto deste instrumento em até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07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(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sete</w:t>
      </w:r>
      <w:r>
        <w:rPr>
          <w:rFonts w:ascii="Arial" w:hAnsi="Arial" w:cs="Arial"/>
          <w:b/>
          <w:bCs/>
          <w:color w:val="000000"/>
          <w:sz w:val="21"/>
          <w:szCs w:val="21"/>
        </w:rPr>
        <w:t>) dias</w:t>
      </w:r>
      <w:r>
        <w:rPr>
          <w:rFonts w:ascii="Arial" w:hAnsi="Arial" w:cs="Arial"/>
          <w:color w:val="000000"/>
          <w:sz w:val="21"/>
          <w:szCs w:val="21"/>
        </w:rPr>
        <w:t xml:space="preserve">, contados da Autorização de Fornecimento que será emitida pela secretaria requisitante. 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6.2. </w:t>
      </w:r>
      <w:r>
        <w:rPr>
          <w:rFonts w:ascii="Arial" w:hAnsi="Arial" w:cs="Arial"/>
          <w:color w:val="000000"/>
          <w:sz w:val="21"/>
          <w:szCs w:val="21"/>
        </w:rPr>
        <w:t xml:space="preserve">Por ocasião da execução, caso seja detectado que o objeto não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atendem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às especificações licitada e proposta, poderá o CONTRATANTE rejeitá-lo, obrigando-se a CONTRATADA a providenciar a substituição do bem não aceito, no prazo máximo de 05 (cinco) dias úteis, contados do recebimento pelo responsável técnico, garantindo-se ao CONTRATANTE as faculdades previstas no Código de Defesa do Consumidor.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6.3. </w:t>
      </w:r>
      <w:r>
        <w:rPr>
          <w:rFonts w:ascii="Arial" w:hAnsi="Arial" w:cs="Arial"/>
          <w:color w:val="000000"/>
          <w:sz w:val="21"/>
          <w:szCs w:val="21"/>
        </w:rPr>
        <w:t>É vedada à CONTRATADA condicionar uma quantidade mínima de pedidos para providenciar 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6.4. </w:t>
      </w:r>
      <w:r>
        <w:rPr>
          <w:rFonts w:ascii="Arial" w:hAnsi="Arial" w:cs="Arial"/>
          <w:color w:val="000000"/>
          <w:sz w:val="21"/>
          <w:szCs w:val="21"/>
        </w:rPr>
        <w:t xml:space="preserve">A CONTRATADA deverá enviar o objeto contratado, solicitado pelo CONTRATANTE de forma imediata, independente da quantidade solicitada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incorrer as penalidades previstas na Clausula Oitava.</w:t>
      </w:r>
    </w:p>
    <w:p w:rsidR="00B666B5" w:rsidRDefault="00B666B5" w:rsidP="00B666B5">
      <w:pPr>
        <w:jc w:val="both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SÉTIMA - Do Cancelamento Da Ata De Registro De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7.1.</w:t>
      </w:r>
      <w:r>
        <w:rPr>
          <w:rFonts w:ascii="Arial" w:hAnsi="Arial" w:cs="Arial"/>
          <w:color w:val="000000"/>
          <w:sz w:val="21"/>
          <w:szCs w:val="21"/>
        </w:rPr>
        <w:t xml:space="preserve"> O Registro de determinado preço poderá ser cancelado, nas seguintes hipóteses: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quando a CONTRATADA não cumprir as obrigações constantes dessa Ata de Registro de Preços;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quando a CONTRATADA não aceitar reduzir o seu preço registrado se esse se tornar superior ao praticado no mercado;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quando a CONTRATADA solicitar o cancelamento por escrito, comprovando estar impossibilitado de cumprir as exigências desta Ata de Registro de Preços por fato superveniente, decorrentes de caso fortuito ou força maior;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d) cometimento de irregularidade grave no cumprimento de cláusulas contratuais, especificações e prazos, suficiente a ponto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ter que promover a execução do objeto contratado, através da contratação de terceiros.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atraso injustificado na execução do objeto.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paralisação na execução do objeto contratado, sem justa causa, e prévia comunicação à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g) subcontratação total ou parcial da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h) associação do contratado com outrem, cessão ou transferência, total ou parcial, bem como a fusão, cisão ou incorporação, que afetem a boa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i) desatendimento das determinações regulares da autoridade designada para acompanhar e fiscalizar a sua execução, assim como de seus superiores.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j) cometimento reiterado de faltas na execução do objeto ora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k) decretação de falência, pedido de concordata ou instauração de insolvência civil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l) dissolução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m) Alteração social ou a modificação da finalidade ou da estrutura da empresa, que, a juízo da Administração Pública, prejudique a execução deste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7.2.</w:t>
      </w:r>
      <w:r>
        <w:rPr>
          <w:rFonts w:ascii="Arial" w:hAnsi="Arial" w:cs="Arial"/>
          <w:color w:val="000000"/>
          <w:sz w:val="21"/>
          <w:szCs w:val="21"/>
        </w:rPr>
        <w:t xml:space="preserve"> A comunicação do cancelamento do preço registrado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formalizado em processo próprio e comunicada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por correspondência, com aviso de recebimento, assegurado o contraditório e a ampla defesa no prazo de 5 (cinco) dias úteis.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7.3.</w:t>
      </w:r>
      <w:r>
        <w:rPr>
          <w:rFonts w:ascii="Arial" w:hAnsi="Arial" w:cs="Arial"/>
          <w:color w:val="000000"/>
          <w:sz w:val="21"/>
          <w:szCs w:val="21"/>
        </w:rPr>
        <w:t xml:space="preserve"> No caso de se tornar desconhecido o endereço da CONTRATADA, a comunicação será feita por publicação na imprensa oficial, considerando-se, assim, para todos os efeitos, cancelado o preço registrado.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7.4.</w:t>
      </w:r>
      <w:r>
        <w:rPr>
          <w:rFonts w:ascii="Arial" w:hAnsi="Arial" w:cs="Arial"/>
          <w:color w:val="000000"/>
          <w:sz w:val="21"/>
          <w:szCs w:val="21"/>
        </w:rPr>
        <w:t xml:space="preserve"> A rescisão contratual também se operará nos seguintes casos: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a) Razões de interesse público, de alta relevância e amplo conhecimento,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justificadas e determinadas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pela máxima autoridade da esfera administrativa a que está </w:t>
      </w:r>
      <w:r>
        <w:rPr>
          <w:rFonts w:ascii="Arial" w:hAnsi="Arial" w:cs="Arial"/>
          <w:color w:val="000000"/>
          <w:sz w:val="21"/>
          <w:szCs w:val="21"/>
        </w:rPr>
        <w:lastRenderedPageBreak/>
        <w:t>subordinada a CONTRATANTE, devidamente deduzidas em processo administrativo regularmente instaurado.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Supressão, unilateral por parte da CONTRATANTE, dos quantitativos dos serviços, acarretando modificação do valor inicial do contrato, além do limite permitido no artigo 65, parágrafo 1º, da Lei 8.666/93.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c) Suspensão de sua execução, por ordem escrita da CONTRATANTE por prazo superior 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120 (cento e vinte) dias, salvo caso de calamidade pública, grave perturbação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d) Atraso superior a 90 (noventa) dias dos pagamentos devidos pela CONTRATANTE, decorrentes de fornecimentos de materiais, salvo em caso de calamidade pública, grave perturbação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e) Ocorrência de caso fortuito ou força maior, regularmente comprovada, impeditiva da execução do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Descumprimento do disposto no inciso V, do art. 27 da Lei nº 8.666/93, com redação dada pela Lei nº 9.854, de 27 de outubro de 1.999.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7.5. </w:t>
      </w:r>
      <w:r>
        <w:rPr>
          <w:rFonts w:ascii="Arial" w:hAnsi="Arial" w:cs="Arial"/>
          <w:color w:val="000000"/>
          <w:sz w:val="21"/>
          <w:szCs w:val="21"/>
        </w:rPr>
        <w:t>A rescisão deste contrato poderá ser: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Amigável, por acordo entre as partes, reduzida a termo no processo da licitação, desde que haja conveniência para 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Judicial, nos termos da legislação processual, vigente à época da rescisão contratual.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7.6. </w:t>
      </w:r>
      <w:r>
        <w:rPr>
          <w:rFonts w:ascii="Arial" w:hAnsi="Arial" w:cs="Arial"/>
          <w:color w:val="000000"/>
          <w:sz w:val="21"/>
          <w:szCs w:val="21"/>
        </w:rPr>
        <w:t>Nos casos de rescisão administrativa ou amigável, haverá precedência de autorização escrita e fundamentada da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7.7. </w:t>
      </w:r>
      <w:r>
        <w:rPr>
          <w:rFonts w:ascii="Arial" w:hAnsi="Arial" w:cs="Arial"/>
          <w:color w:val="000000"/>
          <w:sz w:val="21"/>
          <w:szCs w:val="21"/>
        </w:rPr>
        <w:t>No caso de rescisão do contrato com fundamento em razões descritas nas alíneas “a” a “d” do item 7.4, será a CONTRATADA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ressarcida dos prejuízos regularmente comprovados que houver sofrido, tendo, ainda, direito a pagamentos devidos pela execução do objeto contratado até a data da rescisão.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CLÁUSULA OITAVA - Das Penalidades 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8.1.</w:t>
      </w:r>
      <w:r>
        <w:rPr>
          <w:rFonts w:ascii="Arial" w:hAnsi="Arial" w:cs="Arial"/>
          <w:color w:val="000000"/>
          <w:sz w:val="21"/>
          <w:szCs w:val="21"/>
        </w:rPr>
        <w:t xml:space="preserve"> O não cumprimento das obrigações contratuais ensejará a aplicação das seguintes sanções, independentemente de outras previstas em lei: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Advertência por escrito.</w:t>
      </w:r>
    </w:p>
    <w:p w:rsidR="00B666B5" w:rsidRDefault="00B666B5" w:rsidP="00B666B5">
      <w:pPr>
        <w:tabs>
          <w:tab w:val="left" w:pos="713"/>
          <w:tab w:val="left" w:pos="1418"/>
          <w:tab w:val="left" w:pos="1701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b) Multa de 10 % (dez) sobre o valor empenhado, limitado este a 10 (dez) dias, após o qual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considerado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inexecução contratual;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No caso de inexecução do contrato, a CONTRATADA será: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1) Suspensa temporária de participar em licitação e impedida de contratar com a Administração por 02 (dois) anos.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2) Declarada de inidônea para licitar ou contratar com a Administração Pública.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As sanções previstas nos itens acima mencionados admitem defesa prévia do interessado no respectivo processo 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úteis, com exceção da pena de declaração de inidoneidade, hipótese em que é facultada a defesa no prazo de 10 (dez) dias da abertura da vista.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As penalidades acima previstas são independentes entre si, podendo ser aplicadas isolada ou cumulativamente.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As multas aplicadas deverão ser recolhidas à conta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corridos a contar da data da notificação, podendo o seu valor ser descontado do documento de cobrança, na ocasião de seu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g) As multas, quando não recolhidas ou descontadas no prazo descrito no item anterior deste contrato sofrerão reajuste pelo Índice Geral dos Preços de Mercado da Fundação Getúlio Vargas (IGPM/FGV).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h) Além das multas estabelecidas, 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poderá recusar os materiais, se a sua apresentação não estiver de acordo com o exigido na descrição do objeto deste contrato e não for corrigida imediatamente.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  <w:t xml:space="preserve">i) A ocorrência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ensejadora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da recusa em aceitar o objeto contratado pela CONTRATADA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constituir motivo para aplicação do disposto nas alíneas "a" e "c" do presente item.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NONA – Da Fiscalização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9.1.</w:t>
      </w:r>
      <w:r>
        <w:rPr>
          <w:rFonts w:ascii="Arial" w:hAnsi="Arial" w:cs="Arial"/>
          <w:color w:val="000000"/>
          <w:sz w:val="21"/>
          <w:szCs w:val="21"/>
        </w:rPr>
        <w:t xml:space="preserve"> Cabe a Secretaria requisitante fiscalizar rotineiramente o objeto da presente Ata, quanto à quantidade, qualidade e modo de fornecimento e/ou execução.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9.2. </w:t>
      </w:r>
      <w:r>
        <w:rPr>
          <w:rFonts w:ascii="Arial" w:hAnsi="Arial" w:cs="Arial"/>
          <w:color w:val="000000"/>
          <w:sz w:val="21"/>
          <w:szCs w:val="21"/>
        </w:rPr>
        <w:t>Os fiscais da secretaria requisitante estão investidos do direito de recusar, em parte ou totalmente, o produto que não satisfaça as especificações estabelecidas ou que esteja sendo entregue inadequadamente ou que não atinja a finalidade que se destina.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9.3.</w:t>
      </w:r>
      <w:r>
        <w:rPr>
          <w:rFonts w:ascii="Arial" w:hAnsi="Arial" w:cs="Arial"/>
          <w:color w:val="000000"/>
          <w:sz w:val="21"/>
          <w:szCs w:val="21"/>
        </w:rPr>
        <w:t xml:space="preserve"> As irregularidades constatadas pela secretaria requisitante deverão ser comunicadas a Secretaria Municipal de Planejamento, Orçamento e Projetos - SMPOP, para que sejam tomadas as providências necessárias para corrigi-las ou, quando for o caso, aplicadas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penalidades previstas.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– Dos Casos Fortuitos Ou De Força Maior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10.1.</w:t>
      </w:r>
      <w:r>
        <w:rPr>
          <w:rFonts w:ascii="Arial" w:hAnsi="Arial" w:cs="Arial"/>
          <w:color w:val="000000"/>
          <w:sz w:val="21"/>
          <w:szCs w:val="21"/>
        </w:rPr>
        <w:t xml:space="preserve"> Serão considerados casos fortuitos ou de força maior, para efeito de cancelamento da Ata de Registro de Preços ou não aplicação de sanções, os inadimplementos decorrentes das situações a seguir, quando vierem a atrasar a execução do objeto contratado: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greve geral;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calamidade pública;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interrupção dos meios de transporte;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condições meteorológicas excepcionalmente prejudiciais;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e</w:t>
      </w:r>
      <w:proofErr w:type="gramEnd"/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outros casos que se enquadrem no parágrafo único do art. 393 do Código Civil Brasileiro (Lei nº 10.406/2002).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10.2. </w:t>
      </w:r>
      <w:r>
        <w:rPr>
          <w:rFonts w:ascii="Arial" w:hAnsi="Arial" w:cs="Arial"/>
          <w:color w:val="000000"/>
          <w:sz w:val="21"/>
          <w:szCs w:val="21"/>
        </w:rPr>
        <w:t>Os casos acima enumerados devem ser satisfatoriamente justificados pela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10.3.</w:t>
      </w:r>
      <w:r>
        <w:rPr>
          <w:rFonts w:ascii="Arial" w:hAnsi="Arial" w:cs="Arial"/>
          <w:color w:val="000000"/>
          <w:sz w:val="21"/>
          <w:szCs w:val="21"/>
        </w:rPr>
        <w:t xml:space="preserve"> Sempre que ocorrerem situações que impliquem caso fortuito ou de força maior, o fato deverá ser comunicado a secretaria requisitante, até 24 (vinte e quatro) horas após a ocorrência.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PRIMEIRA - Das Alterações Contratuais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>11.1.</w:t>
      </w:r>
      <w:r>
        <w:rPr>
          <w:rFonts w:ascii="Arial" w:hAnsi="Arial" w:cs="Arial"/>
          <w:color w:val="000000"/>
          <w:sz w:val="21"/>
          <w:szCs w:val="21"/>
        </w:rPr>
        <w:t xml:space="preserve"> Este contrato poderá ser alterado na ocorrência de qualquer das hipóteses previstas no art. 65 da Lei nº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8.666/93 e alterações. Tais alterações serão celebradas mediante termo aditivo.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SEGUNDA - Dos Casos Omissos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12.1.</w:t>
      </w:r>
      <w:r>
        <w:rPr>
          <w:rFonts w:ascii="Arial" w:hAnsi="Arial" w:cs="Arial"/>
          <w:color w:val="000000"/>
          <w:sz w:val="21"/>
          <w:szCs w:val="21"/>
        </w:rPr>
        <w:t xml:space="preserve"> Os casos omissos serão resolvidos pela Secretaria Municipal de Planejamento, Orçamento e Projetos - SMPOP, à luz da legislação, da jurisprudência e da doutrina aplicável à espécie.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DÉCIMA TERCEIRA – Do Foro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13.1. </w:t>
      </w:r>
      <w:r>
        <w:rPr>
          <w:rFonts w:ascii="Arial" w:hAnsi="Arial" w:cs="Arial"/>
          <w:color w:val="000000"/>
          <w:sz w:val="21"/>
          <w:szCs w:val="21"/>
        </w:rPr>
        <w:t>Fica eleito o foro da comarca de São Borja do Estado do Rio Grande do Sul, para dirimir quaisquer questões relativas a este contrato, com expressa renúncia de qualquer outro por mais privilegiado que seja.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E, por estarem justas e contratadas, as partes assinam o presente instrumento em 02 (duas) vias de igual teor e forma, na presença de duas (02) testemunhas abaixo, para que produza seus efeitos jurídicos.</w:t>
      </w: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</w:pPr>
      <w:r>
        <w:rPr>
          <w:rFonts w:ascii="Arial" w:hAnsi="Arial" w:cs="Arial"/>
          <w:color w:val="000000"/>
          <w:sz w:val="21"/>
          <w:szCs w:val="21"/>
        </w:rPr>
        <w:t xml:space="preserve">São Borja, </w:t>
      </w:r>
      <w:r w:rsidR="005454FA">
        <w:rPr>
          <w:rFonts w:ascii="Arial" w:hAnsi="Arial" w:cs="Arial"/>
          <w:color w:val="000000"/>
          <w:sz w:val="21"/>
          <w:szCs w:val="21"/>
        </w:rPr>
        <w:t>25</w:t>
      </w:r>
      <w:r>
        <w:rPr>
          <w:rFonts w:ascii="Arial" w:hAnsi="Arial" w:cs="Arial"/>
          <w:color w:val="000000"/>
          <w:sz w:val="21"/>
          <w:szCs w:val="21"/>
        </w:rPr>
        <w:t xml:space="preserve"> de </w:t>
      </w:r>
      <w:r w:rsidR="005454FA">
        <w:rPr>
          <w:rFonts w:ascii="Arial" w:hAnsi="Arial" w:cs="Arial"/>
          <w:color w:val="000000"/>
          <w:sz w:val="21"/>
          <w:szCs w:val="21"/>
        </w:rPr>
        <w:t>Março</w:t>
      </w:r>
      <w:r>
        <w:rPr>
          <w:rFonts w:ascii="Arial" w:hAnsi="Arial" w:cs="Arial"/>
          <w:color w:val="000000"/>
          <w:sz w:val="21"/>
          <w:szCs w:val="21"/>
        </w:rPr>
        <w:t xml:space="preserve"> de 2019.</w:t>
      </w: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357"/>
        <w:gridCol w:w="4357"/>
      </w:tblGrid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__________________________________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EDUARDO BONOTTO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PREFEITO </w:t>
            </w:r>
          </w:p>
          <w:p w:rsidR="00B666B5" w:rsidRDefault="00B666B5" w:rsidP="000451D0">
            <w:pPr>
              <w:jc w:val="center"/>
            </w:pPr>
          </w:p>
          <w:p w:rsidR="00B666B5" w:rsidRDefault="00B666B5" w:rsidP="000451D0">
            <w:pPr>
              <w:jc w:val="center"/>
            </w:pP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</w:t>
            </w:r>
          </w:p>
          <w:p w:rsidR="00B666B5" w:rsidRDefault="005454FA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VERÔNICA MARIA FERREIRA DE ALBUQUERQUE</w:t>
            </w:r>
          </w:p>
          <w:p w:rsidR="00B666B5" w:rsidRDefault="005454FA" w:rsidP="000451D0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FORNECEDOR REGISTRADO</w:t>
            </w:r>
          </w:p>
          <w:p w:rsidR="00B666B5" w:rsidRDefault="00B666B5" w:rsidP="000451D0">
            <w:pPr>
              <w:snapToGri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B666B5" w:rsidRDefault="00B666B5" w:rsidP="000451D0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.................................................................ASSINATURA: .................................................</w:t>
            </w: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.................................................................ASSINATURA: ................................................</w:t>
            </w:r>
          </w:p>
        </w:tc>
      </w:tr>
    </w:tbl>
    <w:p w:rsidR="00441C1B" w:rsidRDefault="008E3B24"/>
    <w:sectPr w:rsidR="00441C1B" w:rsidSect="00545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4FA" w:rsidRDefault="005454FA" w:rsidP="005454FA">
      <w:r>
        <w:separator/>
      </w:r>
    </w:p>
  </w:endnote>
  <w:endnote w:type="continuationSeparator" w:id="0">
    <w:p w:rsidR="005454FA" w:rsidRDefault="005454FA" w:rsidP="00545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Rodap"/>
      <w:jc w:val="center"/>
    </w:pPr>
    <w:r>
      <w:rPr>
        <w:rFonts w:ascii="Verdana" w:eastAsia="Verdana" w:hAnsi="Verdana" w:cs="Verdana"/>
        <w:sz w:val="16"/>
        <w:szCs w:val="16"/>
      </w:rPr>
      <w:t xml:space="preserve">Vitor                    </w:t>
    </w:r>
    <w:r>
      <w:rPr>
        <w:rFonts w:ascii="Verdana" w:eastAsia="Verdana" w:hAnsi="Verdana" w:cs="Verdana"/>
        <w:sz w:val="14"/>
        <w:szCs w:val="14"/>
      </w:rPr>
      <w:t xml:space="preserve">        “</w:t>
    </w:r>
    <w:r>
      <w:rPr>
        <w:rFonts w:ascii="Verdana" w:hAnsi="Verdana" w:cs="Verdana"/>
        <w:sz w:val="14"/>
        <w:szCs w:val="14"/>
      </w:rPr>
      <w:t xml:space="preserve">SÃO BORJA – Terra dos Presidentes”                                                                            </w:t>
    </w:r>
    <w:r w:rsidR="00D33A80"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 w:rsidR="00D33A80">
      <w:rPr>
        <w:sz w:val="14"/>
        <w:szCs w:val="14"/>
      </w:rPr>
      <w:fldChar w:fldCharType="separate"/>
    </w:r>
    <w:r w:rsidR="008E3B24">
      <w:rPr>
        <w:noProof/>
        <w:sz w:val="14"/>
        <w:szCs w:val="14"/>
      </w:rPr>
      <w:t>4</w:t>
    </w:r>
    <w:r w:rsidR="00D33A80">
      <w:rPr>
        <w:sz w:val="14"/>
        <w:szCs w:val="14"/>
      </w:rPr>
      <w:fldChar w:fldCharType="end"/>
    </w:r>
    <w:r>
      <w:rPr>
        <w:rFonts w:ascii="Verdana" w:hAnsi="Verdana" w:cs="Verdana"/>
        <w:sz w:val="14"/>
        <w:szCs w:val="14"/>
      </w:rPr>
      <w:t>/</w:t>
    </w:r>
    <w:r w:rsidR="00D33A80"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\* ARABIC </w:instrText>
    </w:r>
    <w:r w:rsidR="00D33A80">
      <w:rPr>
        <w:sz w:val="14"/>
        <w:szCs w:val="14"/>
      </w:rPr>
      <w:fldChar w:fldCharType="separate"/>
    </w:r>
    <w:r w:rsidR="008E3B24">
      <w:rPr>
        <w:noProof/>
        <w:sz w:val="14"/>
        <w:szCs w:val="14"/>
      </w:rPr>
      <w:t>6</w:t>
    </w:r>
    <w:r w:rsidR="00D33A80"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4FA" w:rsidRDefault="005454FA" w:rsidP="005454FA">
      <w:r>
        <w:separator/>
      </w:r>
    </w:p>
  </w:footnote>
  <w:footnote w:type="continuationSeparator" w:id="0">
    <w:p w:rsidR="005454FA" w:rsidRDefault="005454FA" w:rsidP="00545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Cabealho"/>
      <w:jc w:val="center"/>
      <w:rPr>
        <w:b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pt-BR"/>
      </w:rPr>
      <w:drawing>
        <wp:inline distT="0" distB="0" distL="0" distR="0">
          <wp:extent cx="643255" cy="632460"/>
          <wp:effectExtent l="19050" t="0" r="444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4" t="-31" r="-34" b="-31"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324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</w:pPr>
    <w:r>
      <w:rPr>
        <w:rFonts w:ascii="Arial" w:hAnsi="Arial" w:cs="Arial"/>
        <w:b/>
        <w:sz w:val="16"/>
        <w:szCs w:val="16"/>
      </w:rPr>
      <w:t>PREFEITURA MUNICIPAL DE SÃO BORJA</w:t>
    </w:r>
  </w:p>
  <w:p w:rsidR="005454FA" w:rsidRDefault="005454FA" w:rsidP="005454FA">
    <w:pPr>
      <w:jc w:val="center"/>
    </w:pPr>
    <w:r>
      <w:rPr>
        <w:rFonts w:ascii="Arial" w:hAnsi="Arial" w:cs="Arial"/>
        <w:sz w:val="16"/>
        <w:szCs w:val="16"/>
      </w:rPr>
      <w:t xml:space="preserve">CENTRO ADMINISTRATIVO SALVADOR LIONÇO PEIREIRA ALVAREZ </w:t>
    </w:r>
  </w:p>
  <w:p w:rsidR="005454FA" w:rsidRDefault="005454FA" w:rsidP="005454FA">
    <w:pPr>
      <w:pStyle w:val="Ttulo1"/>
      <w:tabs>
        <w:tab w:val="left" w:pos="0"/>
      </w:tabs>
      <w:spacing w:before="0"/>
    </w:pPr>
    <w:r>
      <w:rPr>
        <w:rFonts w:ascii="Arial" w:hAnsi="Arial" w:cs="Arial"/>
        <w:sz w:val="16"/>
        <w:szCs w:val="16"/>
      </w:rPr>
      <w:t xml:space="preserve">Secretaria Municipal de Planejamento, Orçamento e </w:t>
    </w:r>
    <w:proofErr w:type="gramStart"/>
    <w:r>
      <w:rPr>
        <w:rFonts w:ascii="Arial" w:hAnsi="Arial" w:cs="Arial"/>
        <w:sz w:val="16"/>
        <w:szCs w:val="16"/>
      </w:rPr>
      <w:t>Projetos</w:t>
    </w:r>
    <w:proofErr w:type="gramEnd"/>
  </w:p>
  <w:p w:rsidR="005454FA" w:rsidRDefault="005454FA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6B5"/>
    <w:rsid w:val="0000239C"/>
    <w:rsid w:val="005454FA"/>
    <w:rsid w:val="008E3B24"/>
    <w:rsid w:val="00A4708C"/>
    <w:rsid w:val="00AC37F3"/>
    <w:rsid w:val="00B666B5"/>
    <w:rsid w:val="00B8230D"/>
    <w:rsid w:val="00D33A80"/>
    <w:rsid w:val="00E14B34"/>
    <w:rsid w:val="00FB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B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5454FA"/>
    <w:pPr>
      <w:keepNext/>
      <w:numPr>
        <w:numId w:val="1"/>
      </w:numPr>
      <w:spacing w:before="12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B666B5"/>
    <w:pPr>
      <w:spacing w:before="120"/>
      <w:jc w:val="both"/>
    </w:pPr>
    <w:rPr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B666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abealho">
    <w:name w:val="header"/>
    <w:basedOn w:val="Normal"/>
    <w:link w:val="Cabealho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5454F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454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4F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2336</Words>
  <Characters>12619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LaFamília</dc:creator>
  <cp:lastModifiedBy>LaFamília</cp:lastModifiedBy>
  <cp:revision>2</cp:revision>
  <dcterms:created xsi:type="dcterms:W3CDTF">2019-04-06T18:46:00Z</dcterms:created>
  <dcterms:modified xsi:type="dcterms:W3CDTF">2019-04-06T21:00:00Z</dcterms:modified>
</cp:coreProperties>
</file>