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6B5" w:rsidRDefault="00B666B5" w:rsidP="00B666B5">
      <w:pPr>
        <w:jc w:val="center"/>
      </w:pPr>
      <w:r>
        <w:rPr>
          <w:rFonts w:ascii="Arial" w:hAnsi="Arial" w:cs="Arial"/>
          <w:b/>
          <w:bCs/>
          <w:color w:val="000000"/>
          <w:sz w:val="21"/>
          <w:szCs w:val="21"/>
        </w:rPr>
        <w:t>ATA DE REGISTRO DE PREÇOS</w:t>
      </w:r>
    </w:p>
    <w:p w:rsidR="00B666B5" w:rsidRDefault="00B666B5" w:rsidP="00B666B5">
      <w:pPr>
        <w:jc w:val="center"/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Nº </w:t>
      </w:r>
      <w:r w:rsidR="00770557">
        <w:rPr>
          <w:rFonts w:ascii="Arial" w:hAnsi="Arial" w:cs="Arial"/>
          <w:b/>
          <w:bCs/>
          <w:color w:val="000000"/>
          <w:sz w:val="21"/>
          <w:szCs w:val="21"/>
        </w:rPr>
        <w:t>04</w:t>
      </w:r>
      <w:r>
        <w:rPr>
          <w:rFonts w:ascii="Arial" w:hAnsi="Arial" w:cs="Arial"/>
          <w:b/>
          <w:bCs/>
          <w:color w:val="000000"/>
          <w:sz w:val="21"/>
          <w:szCs w:val="21"/>
        </w:rPr>
        <w:t>/2019/SMPOP/DCL</w:t>
      </w:r>
    </w:p>
    <w:p w:rsidR="00B666B5" w:rsidRDefault="00B666B5" w:rsidP="00B666B5">
      <w:pPr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B666B5" w:rsidRDefault="00B666B5" w:rsidP="00B666B5"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PREGÃO PRESENCIAL Nº </w:t>
      </w:r>
      <w:r w:rsidR="00770557">
        <w:rPr>
          <w:rFonts w:ascii="Arial" w:hAnsi="Arial" w:cs="Arial"/>
          <w:b/>
          <w:bCs/>
          <w:color w:val="000000"/>
          <w:sz w:val="21"/>
          <w:szCs w:val="21"/>
        </w:rPr>
        <w:t>05</w:t>
      </w:r>
      <w:r>
        <w:rPr>
          <w:rFonts w:ascii="Arial" w:hAnsi="Arial" w:cs="Arial"/>
          <w:b/>
          <w:bCs/>
          <w:color w:val="000000"/>
          <w:sz w:val="21"/>
          <w:szCs w:val="21"/>
        </w:rPr>
        <w:t>/2019/PP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Ata de Registro de Preço, que entre si fazem o MUNICÍPIO DE SÃO BORJA, aqui representado pelo Prefeito Municipal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EDUARDO BONOTTO</w:t>
      </w:r>
      <w:r>
        <w:rPr>
          <w:rFonts w:ascii="Arial" w:hAnsi="Arial" w:cs="Arial"/>
          <w:color w:val="000000"/>
          <w:sz w:val="21"/>
          <w:szCs w:val="21"/>
        </w:rPr>
        <w:t xml:space="preserve">, inscrito no CNPJ/MF sob nº 88.489.786/0001-01, com sede na Av. Aparício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Mariense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2751, doravante denominado </w:t>
      </w:r>
      <w:r w:rsidRPr="009647A9">
        <w:rPr>
          <w:rFonts w:ascii="Arial" w:hAnsi="Arial" w:cs="Arial"/>
          <w:b/>
          <w:color w:val="000000"/>
          <w:sz w:val="21"/>
          <w:szCs w:val="21"/>
        </w:rPr>
        <w:t>PREFEITO</w:t>
      </w:r>
      <w:r>
        <w:rPr>
          <w:rFonts w:ascii="Arial" w:hAnsi="Arial" w:cs="Arial"/>
          <w:b/>
          <w:color w:val="000000"/>
          <w:sz w:val="21"/>
          <w:szCs w:val="21"/>
        </w:rPr>
        <w:t xml:space="preserve"> MUNICIPAL,</w:t>
      </w:r>
      <w:r>
        <w:rPr>
          <w:rFonts w:ascii="Arial" w:hAnsi="Arial" w:cs="Arial"/>
          <w:color w:val="000000"/>
          <w:sz w:val="21"/>
          <w:szCs w:val="21"/>
        </w:rPr>
        <w:t xml:space="preserve"> e de outro lado a empresa </w:t>
      </w:r>
      <w:r w:rsidR="00426992">
        <w:rPr>
          <w:rFonts w:ascii="Arial" w:hAnsi="Arial" w:cs="Arial"/>
          <w:b/>
          <w:bCs/>
          <w:color w:val="000000"/>
          <w:sz w:val="21"/>
          <w:szCs w:val="21"/>
        </w:rPr>
        <w:t>QUERENCIA COMERCIAL E DISTRIBUIDORA LTDA</w:t>
      </w:r>
      <w:r>
        <w:rPr>
          <w:rFonts w:ascii="Arial" w:hAnsi="Arial" w:cs="Arial"/>
          <w:color w:val="000000"/>
          <w:sz w:val="21"/>
          <w:szCs w:val="21"/>
        </w:rPr>
        <w:t xml:space="preserve">, inscrita no CNPJ nº </w:t>
      </w:r>
      <w:r w:rsidR="00426992">
        <w:rPr>
          <w:rFonts w:ascii="Arial" w:hAnsi="Arial" w:cs="Arial"/>
          <w:color w:val="000000"/>
          <w:sz w:val="21"/>
          <w:szCs w:val="21"/>
        </w:rPr>
        <w:t>10.907.550/0001-42</w:t>
      </w:r>
      <w:r>
        <w:rPr>
          <w:rFonts w:ascii="Arial" w:hAnsi="Arial" w:cs="Arial"/>
          <w:color w:val="000000"/>
          <w:sz w:val="21"/>
          <w:szCs w:val="21"/>
        </w:rPr>
        <w:t>, com sede</w:t>
      </w:r>
      <w:r w:rsidR="00DC5FC7">
        <w:rPr>
          <w:rFonts w:ascii="Arial" w:hAnsi="Arial" w:cs="Arial"/>
          <w:color w:val="000000"/>
          <w:sz w:val="21"/>
          <w:szCs w:val="21"/>
        </w:rPr>
        <w:t xml:space="preserve"> na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="00426992">
        <w:rPr>
          <w:rFonts w:ascii="Arial" w:hAnsi="Arial" w:cs="Arial"/>
          <w:color w:val="000000"/>
          <w:sz w:val="21"/>
          <w:szCs w:val="21"/>
        </w:rPr>
        <w:t>RUA Jose Vieira Guimarães</w:t>
      </w:r>
      <w:r w:rsidR="00B84783">
        <w:rPr>
          <w:rFonts w:ascii="Arial" w:hAnsi="Arial" w:cs="Arial"/>
          <w:color w:val="000000"/>
          <w:sz w:val="21"/>
          <w:szCs w:val="21"/>
        </w:rPr>
        <w:t>,</w:t>
      </w:r>
      <w:r w:rsidR="002C1A95" w:rsidRPr="002C1A95">
        <w:rPr>
          <w:rFonts w:ascii="Arial" w:hAnsi="Arial" w:cs="Arial"/>
          <w:color w:val="000000"/>
          <w:sz w:val="21"/>
          <w:szCs w:val="21"/>
        </w:rPr>
        <w:t xml:space="preserve"> </w:t>
      </w:r>
      <w:r w:rsidR="002C1A95">
        <w:rPr>
          <w:rFonts w:ascii="Arial" w:hAnsi="Arial" w:cs="Arial"/>
          <w:color w:val="000000"/>
          <w:sz w:val="21"/>
          <w:szCs w:val="21"/>
        </w:rPr>
        <w:t xml:space="preserve">nº </w:t>
      </w:r>
      <w:r w:rsidR="00426992">
        <w:rPr>
          <w:rFonts w:ascii="Arial" w:hAnsi="Arial" w:cs="Arial"/>
          <w:color w:val="000000"/>
          <w:sz w:val="21"/>
          <w:szCs w:val="21"/>
        </w:rPr>
        <w:t>26</w:t>
      </w:r>
      <w:r>
        <w:rPr>
          <w:rFonts w:ascii="Arial" w:hAnsi="Arial" w:cs="Arial"/>
          <w:color w:val="000000"/>
          <w:sz w:val="21"/>
          <w:szCs w:val="21"/>
        </w:rPr>
        <w:t>,</w:t>
      </w:r>
      <w:r w:rsidR="00426992">
        <w:rPr>
          <w:rFonts w:ascii="Arial" w:hAnsi="Arial" w:cs="Arial"/>
          <w:color w:val="000000"/>
          <w:sz w:val="21"/>
          <w:szCs w:val="21"/>
        </w:rPr>
        <w:t xml:space="preserve"> SALA 02,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="00FA225C">
        <w:rPr>
          <w:rFonts w:ascii="Arial" w:hAnsi="Arial" w:cs="Arial"/>
          <w:color w:val="000000"/>
          <w:sz w:val="21"/>
          <w:szCs w:val="21"/>
        </w:rPr>
        <w:t>Bairro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="00426992">
        <w:rPr>
          <w:rFonts w:ascii="Arial" w:hAnsi="Arial" w:cs="Arial"/>
          <w:color w:val="000000"/>
          <w:sz w:val="21"/>
          <w:szCs w:val="21"/>
        </w:rPr>
        <w:t>Querência</w:t>
      </w:r>
      <w:r w:rsidR="002C1A95">
        <w:rPr>
          <w:rFonts w:ascii="Arial" w:hAnsi="Arial" w:cs="Arial"/>
          <w:color w:val="000000"/>
          <w:sz w:val="21"/>
          <w:szCs w:val="21"/>
        </w:rPr>
        <w:t xml:space="preserve">, </w:t>
      </w:r>
      <w:r>
        <w:rPr>
          <w:rFonts w:ascii="Arial" w:hAnsi="Arial" w:cs="Arial"/>
          <w:color w:val="000000"/>
          <w:sz w:val="21"/>
          <w:szCs w:val="21"/>
        </w:rPr>
        <w:t xml:space="preserve">cidade </w:t>
      </w:r>
      <w:r w:rsidR="00426992">
        <w:rPr>
          <w:rFonts w:ascii="Arial" w:hAnsi="Arial" w:cs="Arial"/>
          <w:color w:val="000000"/>
          <w:sz w:val="21"/>
          <w:szCs w:val="21"/>
        </w:rPr>
        <w:t>Viamão</w:t>
      </w:r>
      <w:r>
        <w:rPr>
          <w:rFonts w:ascii="Arial" w:hAnsi="Arial" w:cs="Arial"/>
          <w:color w:val="000000"/>
          <w:sz w:val="21"/>
          <w:szCs w:val="21"/>
        </w:rPr>
        <w:t xml:space="preserve">/RS, vencedora e adjudicatária do pregão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supra-referido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por seu representante legal </w:t>
      </w:r>
      <w:r w:rsidR="00426992">
        <w:rPr>
          <w:rFonts w:ascii="Arial" w:hAnsi="Arial" w:cs="Arial"/>
          <w:b/>
          <w:color w:val="000000"/>
          <w:sz w:val="21"/>
          <w:szCs w:val="21"/>
        </w:rPr>
        <w:t>CARLA MARIA MATTNER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 xml:space="preserve">inscrito no CPF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nº</w:t>
      </w:r>
      <w:r w:rsidR="00426992">
        <w:rPr>
          <w:rFonts w:ascii="Arial" w:hAnsi="Arial" w:cs="Arial"/>
          <w:color w:val="000000"/>
          <w:sz w:val="21"/>
          <w:szCs w:val="21"/>
        </w:rPr>
        <w:t>918.</w:t>
      </w:r>
      <w:proofErr w:type="gramEnd"/>
      <w:r w:rsidR="00426992">
        <w:rPr>
          <w:rFonts w:ascii="Arial" w:hAnsi="Arial" w:cs="Arial"/>
          <w:color w:val="000000"/>
          <w:sz w:val="21"/>
          <w:szCs w:val="21"/>
        </w:rPr>
        <w:t>724.130-72</w:t>
      </w:r>
      <w:r>
        <w:rPr>
          <w:rFonts w:ascii="Arial" w:hAnsi="Arial" w:cs="Arial"/>
          <w:color w:val="000000"/>
          <w:sz w:val="21"/>
          <w:szCs w:val="21"/>
        </w:rPr>
        <w:t xml:space="preserve">, Carteira de Identidade RG Nº </w:t>
      </w:r>
      <w:r w:rsidR="00426992">
        <w:rPr>
          <w:rFonts w:ascii="Arial" w:hAnsi="Arial" w:cs="Arial"/>
          <w:color w:val="000000"/>
          <w:sz w:val="21"/>
          <w:szCs w:val="21"/>
        </w:rPr>
        <w:t>5063623366</w:t>
      </w:r>
      <w:r>
        <w:rPr>
          <w:rFonts w:ascii="Arial" w:hAnsi="Arial" w:cs="Arial"/>
          <w:color w:val="000000"/>
          <w:sz w:val="21"/>
          <w:szCs w:val="21"/>
        </w:rPr>
        <w:t xml:space="preserve">, doravante denominado </w:t>
      </w:r>
      <w:r w:rsidRPr="009647A9">
        <w:rPr>
          <w:rFonts w:ascii="Arial" w:hAnsi="Arial" w:cs="Arial"/>
          <w:b/>
          <w:color w:val="000000"/>
          <w:sz w:val="21"/>
          <w:szCs w:val="21"/>
        </w:rPr>
        <w:t>FORNECEDOR</w:t>
      </w:r>
      <w:r>
        <w:rPr>
          <w:rFonts w:ascii="Arial" w:hAnsi="Arial" w:cs="Arial"/>
          <w:b/>
          <w:bCs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 xml:space="preserve"> acordaram em celebrar o presente instrumento, obedecidas as condições constantes no edital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supra-referido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e Ata de Reunião de Julgamento de Proposta, documentos estes que fazem parte integrante do presente contrato em todos os seus conteúdos mediante as seguintes cláusulas e condições: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CLÁUSULA PRIMEIRA – Do Objeto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1.1.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A presente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Ata tem por objeto o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registro de preço para </w:t>
      </w:r>
      <w:r w:rsidR="00DC5FC7">
        <w:rPr>
          <w:rFonts w:ascii="Arial" w:hAnsi="Arial" w:cs="Arial"/>
          <w:b/>
          <w:bCs/>
          <w:color w:val="000000"/>
          <w:sz w:val="21"/>
          <w:szCs w:val="21"/>
        </w:rPr>
        <w:t xml:space="preserve">Cama, Mesa e Banho. </w:t>
      </w:r>
      <w:proofErr w:type="spellStart"/>
      <w:proofErr w:type="gramStart"/>
      <w:r w:rsidR="00DC5FC7">
        <w:rPr>
          <w:rFonts w:ascii="Arial" w:hAnsi="Arial" w:cs="Arial"/>
          <w:b/>
          <w:bCs/>
          <w:color w:val="000000"/>
          <w:sz w:val="21"/>
          <w:szCs w:val="21"/>
        </w:rPr>
        <w:t>SMEd</w:t>
      </w:r>
      <w:proofErr w:type="spellEnd"/>
      <w:proofErr w:type="gramEnd"/>
    </w:p>
    <w:p w:rsidR="00B666B5" w:rsidRDefault="00B666B5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CLÁUSULA SEGUNDA – Da Vigência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2.1.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A presente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Ata de Registro de preços vigorará pelo prazo de 12 (doze) meses, a partir da data de sua assinatura.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2.2. </w:t>
      </w:r>
      <w:r>
        <w:rPr>
          <w:rFonts w:ascii="Arial" w:hAnsi="Arial" w:cs="Arial"/>
          <w:color w:val="000000"/>
          <w:sz w:val="21"/>
          <w:szCs w:val="21"/>
        </w:rPr>
        <w:t>Nos termos do art. 15 § 4º da Lei nº 8.666/93, da Lei Municipal 3.025/2002 e do Decreto Municipal nº 8.497/2002, o CONTRATANTE não está obrigado a adquirir exclusivamente por intermédio dessa Ata, durante o seu período de vigência, os produtos cujos preços nela estejam registrados, podendo adotar para tanto uma licitação específica, assegurando-se, todavia, a preferência de fornecimento aos registrados, no caso de igualdade de condições.</w:t>
      </w:r>
    </w:p>
    <w:p w:rsidR="00B666B5" w:rsidRDefault="00B666B5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CLÁUSULA TERCEIRA – Dos Preços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3.1.</w:t>
      </w:r>
      <w:r>
        <w:rPr>
          <w:rFonts w:ascii="Arial" w:hAnsi="Arial" w:cs="Arial"/>
          <w:color w:val="000000"/>
          <w:sz w:val="21"/>
          <w:szCs w:val="21"/>
        </w:rPr>
        <w:t xml:space="preserve"> Os preços ofertados pela CONTRATADA seguem detalhados na Ata de Julgamento, parte integrante deste, acumulando um total de </w:t>
      </w:r>
      <w:r>
        <w:rPr>
          <w:rFonts w:ascii="Arial" w:hAnsi="Arial" w:cs="Arial"/>
          <w:b/>
          <w:bCs/>
          <w:color w:val="000000"/>
          <w:sz w:val="21"/>
          <w:szCs w:val="21"/>
        </w:rPr>
        <w:t>R</w:t>
      </w:r>
      <w:r w:rsidRPr="00DD3EF9">
        <w:rPr>
          <w:rFonts w:ascii="Arial" w:hAnsi="Arial" w:cs="Arial"/>
          <w:b/>
          <w:bCs/>
          <w:sz w:val="21"/>
          <w:szCs w:val="21"/>
        </w:rPr>
        <w:t xml:space="preserve">$ </w:t>
      </w:r>
      <w:r w:rsidR="00426992">
        <w:rPr>
          <w:rFonts w:ascii="Arial" w:hAnsi="Arial" w:cs="Arial"/>
          <w:b/>
          <w:bCs/>
          <w:sz w:val="21"/>
          <w:szCs w:val="21"/>
        </w:rPr>
        <w:t>35.100,00</w:t>
      </w:r>
      <w:r w:rsidRPr="00DD3EF9">
        <w:rPr>
          <w:rFonts w:ascii="Arial" w:hAnsi="Arial" w:cs="Arial"/>
          <w:b/>
          <w:bCs/>
          <w:sz w:val="21"/>
          <w:szCs w:val="21"/>
        </w:rPr>
        <w:t xml:space="preserve"> (</w:t>
      </w:r>
      <w:r w:rsidR="00426992">
        <w:rPr>
          <w:rFonts w:ascii="Arial" w:hAnsi="Arial" w:cs="Arial"/>
          <w:b/>
          <w:bCs/>
          <w:sz w:val="21"/>
          <w:szCs w:val="21"/>
        </w:rPr>
        <w:t xml:space="preserve">trinta e cinco mil </w:t>
      </w:r>
      <w:r w:rsidR="00351799">
        <w:rPr>
          <w:rFonts w:ascii="Arial" w:hAnsi="Arial" w:cs="Arial"/>
          <w:b/>
          <w:bCs/>
          <w:sz w:val="21"/>
          <w:szCs w:val="21"/>
        </w:rPr>
        <w:t>e</w:t>
      </w:r>
      <w:r w:rsidR="00426992">
        <w:rPr>
          <w:rFonts w:ascii="Arial" w:hAnsi="Arial" w:cs="Arial"/>
          <w:b/>
          <w:bCs/>
          <w:sz w:val="21"/>
          <w:szCs w:val="21"/>
        </w:rPr>
        <w:t xml:space="preserve"> cem reias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), </w:t>
      </w:r>
      <w:r>
        <w:rPr>
          <w:rFonts w:ascii="Arial" w:hAnsi="Arial" w:cs="Arial"/>
          <w:color w:val="000000"/>
          <w:sz w:val="21"/>
          <w:szCs w:val="21"/>
        </w:rPr>
        <w:t>conforme descrições detalhadas: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3.2.</w:t>
      </w:r>
      <w:r>
        <w:rPr>
          <w:rFonts w:ascii="Arial" w:hAnsi="Arial" w:cs="Arial"/>
          <w:color w:val="000000"/>
          <w:sz w:val="21"/>
          <w:szCs w:val="21"/>
        </w:rPr>
        <w:t xml:space="preserve"> Os preços, as descrições e quantidades são as seguintes:</w:t>
      </w:r>
    </w:p>
    <w:tbl>
      <w:tblPr>
        <w:tblW w:w="9314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19"/>
        <w:gridCol w:w="645"/>
        <w:gridCol w:w="850"/>
        <w:gridCol w:w="3991"/>
        <w:gridCol w:w="1677"/>
        <w:gridCol w:w="1532"/>
      </w:tblGrid>
      <w:tr w:rsidR="00B666B5" w:rsidTr="00FB3937">
        <w:trPr>
          <w:jc w:val="center"/>
        </w:trPr>
        <w:tc>
          <w:tcPr>
            <w:tcW w:w="6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666B5" w:rsidRDefault="00B666B5" w:rsidP="000451D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Item </w:t>
            </w:r>
          </w:p>
        </w:tc>
        <w:tc>
          <w:tcPr>
            <w:tcW w:w="6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666B5" w:rsidRDefault="00B666B5" w:rsidP="000451D0">
            <w:pPr>
              <w:jc w:val="center"/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Und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666B5" w:rsidRDefault="00B666B5" w:rsidP="000451D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Quant.</w:t>
            </w:r>
          </w:p>
        </w:tc>
        <w:tc>
          <w:tcPr>
            <w:tcW w:w="39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666B5" w:rsidRDefault="00B666B5" w:rsidP="000451D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Descrição/Objeto</w:t>
            </w:r>
          </w:p>
        </w:tc>
        <w:tc>
          <w:tcPr>
            <w:tcW w:w="16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666B5" w:rsidRDefault="00B666B5" w:rsidP="000451D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Valor Unitário R$</w:t>
            </w:r>
          </w:p>
        </w:tc>
        <w:tc>
          <w:tcPr>
            <w:tcW w:w="153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B666B5" w:rsidRDefault="00B666B5" w:rsidP="000451D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Valor Total R$</w:t>
            </w:r>
          </w:p>
        </w:tc>
      </w:tr>
      <w:tr w:rsidR="00B0514D" w:rsidTr="00FB3937">
        <w:trPr>
          <w:jc w:val="center"/>
        </w:trPr>
        <w:tc>
          <w:tcPr>
            <w:tcW w:w="61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0514D" w:rsidRDefault="00B0514D" w:rsidP="000451D0">
            <w:pPr>
              <w:snapToGrid w:val="0"/>
              <w:jc w:val="center"/>
            </w:pPr>
            <w:proofErr w:type="gramStart"/>
            <w:r>
              <w:t>1</w:t>
            </w:r>
            <w:proofErr w:type="gramEnd"/>
          </w:p>
        </w:tc>
        <w:tc>
          <w:tcPr>
            <w:tcW w:w="64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0514D" w:rsidRDefault="00B0514D" w:rsidP="00A1338A">
            <w:pPr>
              <w:snapToGrid w:val="0"/>
              <w:jc w:val="center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un</w:t>
            </w:r>
            <w:proofErr w:type="spellEnd"/>
            <w:proofErr w:type="gramEnd"/>
          </w:p>
        </w:tc>
        <w:tc>
          <w:tcPr>
            <w:tcW w:w="85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0514D" w:rsidRDefault="00B0514D" w:rsidP="00A1338A">
            <w:pPr>
              <w:snapToGrid w:val="0"/>
              <w:jc w:val="center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400</w:t>
            </w:r>
          </w:p>
        </w:tc>
        <w:tc>
          <w:tcPr>
            <w:tcW w:w="399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0514D" w:rsidRDefault="00B0514D" w:rsidP="00A1338A">
            <w:pPr>
              <w:snapToGrid w:val="0"/>
              <w:ind w:left="-33" w:right="-3"/>
              <w:jc w:val="both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Lençol para berço com elástico, 100% algodão.</w:t>
            </w:r>
          </w:p>
        </w:tc>
        <w:tc>
          <w:tcPr>
            <w:tcW w:w="1677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4D" w:rsidRDefault="00B0514D" w:rsidP="000451D0">
            <w:pPr>
              <w:snapToGrid w:val="0"/>
              <w:jc w:val="center"/>
            </w:pPr>
            <w:r>
              <w:t>13,40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4D" w:rsidRDefault="00B0514D" w:rsidP="000451D0">
            <w:r>
              <w:t>5.360,00</w:t>
            </w:r>
          </w:p>
        </w:tc>
      </w:tr>
      <w:tr w:rsidR="00B0514D" w:rsidTr="00B0514D">
        <w:trPr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4D" w:rsidRDefault="00B0514D" w:rsidP="000451D0">
            <w:pPr>
              <w:snapToGrid w:val="0"/>
              <w:jc w:val="center"/>
            </w:pPr>
            <w:proofErr w:type="gramStart"/>
            <w:r>
              <w:t>2</w:t>
            </w:r>
            <w:proofErr w:type="gram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4D" w:rsidRDefault="00B0514D" w:rsidP="00A1338A">
            <w:pPr>
              <w:snapToGrid w:val="0"/>
              <w:jc w:val="center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un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4D" w:rsidRDefault="00B0514D" w:rsidP="00A1338A">
            <w:pPr>
              <w:snapToGrid w:val="0"/>
              <w:jc w:val="center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500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4D" w:rsidRDefault="00B0514D" w:rsidP="00A1338A">
            <w:pPr>
              <w:snapToGrid w:val="0"/>
              <w:ind w:left="-33" w:right="-3"/>
              <w:jc w:val="both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Fronha em algodão tamanho 50 x 70.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4D" w:rsidRDefault="00B0514D" w:rsidP="000451D0">
            <w:pPr>
              <w:snapToGrid w:val="0"/>
              <w:jc w:val="center"/>
            </w:pPr>
            <w:r>
              <w:t>5,90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4D" w:rsidRDefault="00B0514D" w:rsidP="000451D0">
            <w:r>
              <w:t>2.950,00</w:t>
            </w:r>
          </w:p>
        </w:tc>
      </w:tr>
      <w:tr w:rsidR="00B0514D" w:rsidTr="00B0514D">
        <w:trPr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4D" w:rsidRDefault="00B0514D" w:rsidP="000451D0">
            <w:pPr>
              <w:snapToGrid w:val="0"/>
              <w:jc w:val="center"/>
            </w:pPr>
            <w:proofErr w:type="gramStart"/>
            <w:r>
              <w:t>5</w:t>
            </w:r>
            <w:proofErr w:type="gram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4D" w:rsidRDefault="00B0514D" w:rsidP="00A1338A">
            <w:pPr>
              <w:snapToGrid w:val="0"/>
              <w:jc w:val="center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un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4D" w:rsidRDefault="00B0514D" w:rsidP="00A1338A">
            <w:pPr>
              <w:snapToGrid w:val="0"/>
              <w:jc w:val="center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600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4D" w:rsidRDefault="00B0514D" w:rsidP="00A1338A">
            <w:pPr>
              <w:snapToGrid w:val="0"/>
              <w:ind w:left="-33" w:right="-3"/>
              <w:jc w:val="both"/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t xml:space="preserve">Cobertor solteiro, tecido </w:t>
            </w:r>
            <w:proofErr w:type="spellStart"/>
            <w:r>
              <w:rPr>
                <w:rFonts w:ascii="Arial" w:hAnsi="Arial" w:cs="Arial"/>
                <w:color w:val="333333"/>
                <w:sz w:val="21"/>
                <w:szCs w:val="21"/>
              </w:rPr>
              <w:t>soft</w:t>
            </w:r>
            <w:proofErr w:type="spellEnd"/>
            <w:r>
              <w:rPr>
                <w:rFonts w:ascii="Arial" w:hAnsi="Arial" w:cs="Arial"/>
                <w:color w:val="333333"/>
                <w:sz w:val="21"/>
                <w:szCs w:val="21"/>
              </w:rPr>
              <w:t xml:space="preserve">, cor verde claro, 150 x </w:t>
            </w:r>
            <w:proofErr w:type="gramStart"/>
            <w:r>
              <w:rPr>
                <w:rFonts w:ascii="Arial" w:hAnsi="Arial" w:cs="Arial"/>
                <w:color w:val="333333"/>
                <w:sz w:val="21"/>
                <w:szCs w:val="21"/>
              </w:rPr>
              <w:t>220cm</w:t>
            </w:r>
            <w:proofErr w:type="gramEnd"/>
            <w:r>
              <w:rPr>
                <w:rFonts w:ascii="Arial" w:hAnsi="Arial" w:cs="Arial"/>
                <w:color w:val="333333"/>
                <w:sz w:val="21"/>
                <w:szCs w:val="21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4D" w:rsidRDefault="00B0514D" w:rsidP="000451D0">
            <w:pPr>
              <w:snapToGrid w:val="0"/>
              <w:jc w:val="center"/>
            </w:pPr>
            <w:r>
              <w:t>22,90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4D" w:rsidRDefault="00B0514D" w:rsidP="000451D0">
            <w:r>
              <w:t>13.740,00</w:t>
            </w:r>
          </w:p>
        </w:tc>
      </w:tr>
      <w:tr w:rsidR="00B0514D" w:rsidTr="00B0514D">
        <w:trPr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4D" w:rsidRDefault="00B0514D" w:rsidP="000451D0">
            <w:pPr>
              <w:snapToGrid w:val="0"/>
              <w:jc w:val="center"/>
            </w:pPr>
            <w:proofErr w:type="gramStart"/>
            <w:r>
              <w:t>8</w:t>
            </w:r>
            <w:proofErr w:type="gram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4D" w:rsidRDefault="00B0514D" w:rsidP="00A1338A">
            <w:pPr>
              <w:snapToGrid w:val="0"/>
              <w:jc w:val="center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un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4D" w:rsidRDefault="00B0514D" w:rsidP="00A1338A">
            <w:pPr>
              <w:snapToGrid w:val="0"/>
              <w:jc w:val="center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400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4D" w:rsidRDefault="00B0514D" w:rsidP="00A1338A">
            <w:pPr>
              <w:snapToGrid w:val="0"/>
              <w:ind w:left="-33" w:right="-3"/>
              <w:jc w:val="both"/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t>Lençol de solteiro com elástico em tecido 100% algodão, 88 x 1.88 x 20 cm.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4D" w:rsidRDefault="00B0514D" w:rsidP="000451D0">
            <w:pPr>
              <w:snapToGrid w:val="0"/>
              <w:jc w:val="center"/>
            </w:pPr>
            <w:r>
              <w:t>17,90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4D" w:rsidRDefault="00B0514D" w:rsidP="000451D0">
            <w:r>
              <w:t>7.160,00</w:t>
            </w:r>
          </w:p>
        </w:tc>
      </w:tr>
      <w:tr w:rsidR="00B0514D" w:rsidTr="00B0514D">
        <w:trPr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4D" w:rsidRDefault="00B0514D" w:rsidP="000451D0">
            <w:pPr>
              <w:snapToGrid w:val="0"/>
              <w:jc w:val="center"/>
            </w:pPr>
            <w:proofErr w:type="gramStart"/>
            <w:r>
              <w:t>9</w:t>
            </w:r>
            <w:proofErr w:type="gram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4D" w:rsidRDefault="00B0514D" w:rsidP="00A1338A">
            <w:pPr>
              <w:snapToGrid w:val="0"/>
              <w:jc w:val="center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un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4D" w:rsidRDefault="00B0514D" w:rsidP="00A1338A">
            <w:pPr>
              <w:snapToGrid w:val="0"/>
              <w:jc w:val="center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200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4D" w:rsidRDefault="00B0514D" w:rsidP="00A1338A">
            <w:pPr>
              <w:snapToGrid w:val="0"/>
              <w:ind w:left="-33" w:right="-3"/>
              <w:jc w:val="both"/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t xml:space="preserve">Babeiro de brim, acabamento em viés fechamento lateral por </w:t>
            </w:r>
            <w:proofErr w:type="spellStart"/>
            <w:r>
              <w:rPr>
                <w:rFonts w:ascii="Arial" w:hAnsi="Arial" w:cs="Arial"/>
                <w:color w:val="333333"/>
                <w:sz w:val="21"/>
                <w:szCs w:val="21"/>
              </w:rPr>
              <w:t>velcro</w:t>
            </w:r>
            <w:proofErr w:type="spellEnd"/>
            <w:r>
              <w:rPr>
                <w:rFonts w:ascii="Arial" w:hAnsi="Arial" w:cs="Arial"/>
                <w:color w:val="333333"/>
                <w:sz w:val="21"/>
                <w:szCs w:val="21"/>
              </w:rPr>
              <w:t>, tamanho único.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4D" w:rsidRDefault="00B0514D" w:rsidP="000451D0">
            <w:pPr>
              <w:snapToGrid w:val="0"/>
              <w:jc w:val="center"/>
            </w:pPr>
            <w:r>
              <w:t>3,20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4D" w:rsidRDefault="00B0514D" w:rsidP="000451D0">
            <w:r>
              <w:t>640,00</w:t>
            </w:r>
          </w:p>
        </w:tc>
      </w:tr>
      <w:tr w:rsidR="00B0514D" w:rsidTr="00B0514D">
        <w:trPr>
          <w:trHeight w:val="93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4D" w:rsidRDefault="00B0514D" w:rsidP="000451D0">
            <w:pPr>
              <w:snapToGrid w:val="0"/>
              <w:jc w:val="center"/>
            </w:pPr>
            <w:r>
              <w:t>10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4D" w:rsidRDefault="00B0514D" w:rsidP="00A1338A">
            <w:pPr>
              <w:snapToGrid w:val="0"/>
              <w:jc w:val="center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un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4D" w:rsidRDefault="00B0514D" w:rsidP="00A1338A">
            <w:pPr>
              <w:snapToGrid w:val="0"/>
              <w:jc w:val="center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500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4D" w:rsidRDefault="00B0514D" w:rsidP="00A1338A">
            <w:pPr>
              <w:snapToGrid w:val="0"/>
              <w:ind w:left="-33" w:right="-3"/>
              <w:jc w:val="both"/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t xml:space="preserve">Travesseiro para bebê, revestido 100% 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lastRenderedPageBreak/>
              <w:t xml:space="preserve">fibra poliéster, </w:t>
            </w:r>
            <w:proofErr w:type="spellStart"/>
            <w:r>
              <w:rPr>
                <w:rFonts w:ascii="Arial" w:hAnsi="Arial" w:cs="Arial"/>
                <w:color w:val="333333"/>
                <w:sz w:val="21"/>
                <w:szCs w:val="21"/>
              </w:rPr>
              <w:t>siliconizado</w:t>
            </w:r>
            <w:proofErr w:type="spellEnd"/>
            <w:r>
              <w:rPr>
                <w:rFonts w:ascii="Arial" w:hAnsi="Arial" w:cs="Arial"/>
                <w:color w:val="333333"/>
                <w:sz w:val="21"/>
                <w:szCs w:val="21"/>
              </w:rPr>
              <w:t>, capa removível e lavável algodão, 100% percal.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4D" w:rsidRDefault="00B0514D" w:rsidP="000451D0">
            <w:pPr>
              <w:snapToGrid w:val="0"/>
              <w:jc w:val="center"/>
            </w:pPr>
            <w:r>
              <w:lastRenderedPageBreak/>
              <w:t>10,50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4D" w:rsidRDefault="00B0514D" w:rsidP="000451D0">
            <w:r>
              <w:t>5.250,00</w:t>
            </w:r>
          </w:p>
        </w:tc>
      </w:tr>
      <w:tr w:rsidR="00B0514D" w:rsidTr="00795214">
        <w:trPr>
          <w:jc w:val="center"/>
        </w:trPr>
        <w:tc>
          <w:tcPr>
            <w:tcW w:w="7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4D" w:rsidRDefault="00B0514D" w:rsidP="000451D0">
            <w:pPr>
              <w:snapToGrid w:val="0"/>
              <w:jc w:val="center"/>
            </w:pPr>
            <w:r>
              <w:lastRenderedPageBreak/>
              <w:t>TOTAL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4D" w:rsidRPr="00426992" w:rsidRDefault="00426992" w:rsidP="000451D0">
            <w:pPr>
              <w:rPr>
                <w:b/>
              </w:rPr>
            </w:pPr>
            <w:r w:rsidRPr="00426992">
              <w:rPr>
                <w:b/>
              </w:rPr>
              <w:t>35.100,00</w:t>
            </w:r>
          </w:p>
        </w:tc>
      </w:tr>
    </w:tbl>
    <w:p w:rsidR="00B666B5" w:rsidRDefault="00B666B5" w:rsidP="00B666B5">
      <w:pPr>
        <w:jc w:val="both"/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CLÁUSULA QUARTA – Das Condições De Fornecimento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4.1. </w:t>
      </w:r>
      <w:r>
        <w:rPr>
          <w:rFonts w:ascii="Arial" w:hAnsi="Arial" w:cs="Arial"/>
          <w:color w:val="000000"/>
          <w:sz w:val="21"/>
          <w:szCs w:val="21"/>
        </w:rPr>
        <w:t>A CONTRATADA obriga-se a dar prioridade no atendimento a CONTRATANTE, bem como, executar o objeto contratado de forma imediata, conforme especificado nos termos do edital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  </w:t>
      </w:r>
      <w:proofErr w:type="gramEnd"/>
      <w:r>
        <w:rPr>
          <w:rFonts w:ascii="Arial" w:hAnsi="Arial" w:cs="Arial"/>
          <w:color w:val="000000"/>
          <w:sz w:val="21"/>
          <w:szCs w:val="21"/>
        </w:rPr>
        <w:t>e inclusive em conformidade com a Ata de Julgamento, bem como de acordo com o que preceitua o Código Defesa Consumidor;</w:t>
      </w:r>
    </w:p>
    <w:p w:rsidR="00B666B5" w:rsidRDefault="00B666B5" w:rsidP="00B666B5">
      <w:pPr>
        <w:pStyle w:val="Recuodecorpodetexto"/>
        <w:spacing w:before="0" w:line="100" w:lineRule="atLeast"/>
      </w:pPr>
      <w:r>
        <w:rPr>
          <w:rFonts w:ascii="Arial" w:hAnsi="Arial" w:cs="Arial"/>
          <w:b/>
          <w:color w:val="000000"/>
          <w:sz w:val="21"/>
          <w:szCs w:val="21"/>
        </w:rPr>
        <w:tab/>
        <w:t xml:space="preserve">4.2. </w:t>
      </w:r>
      <w:r>
        <w:rPr>
          <w:rFonts w:ascii="Arial" w:hAnsi="Arial" w:cs="Arial"/>
          <w:color w:val="000000"/>
          <w:sz w:val="21"/>
          <w:szCs w:val="21"/>
        </w:rPr>
        <w:t>Toda e qualquer despesa relativa à execução do objeto da presente Ata, correrá por conta exclusiva da CONTRATADA.</w:t>
      </w:r>
    </w:p>
    <w:p w:rsidR="00B666B5" w:rsidRDefault="00B666B5" w:rsidP="00B666B5">
      <w:pPr>
        <w:pStyle w:val="Recuodecorpodetexto"/>
        <w:spacing w:before="0" w:line="100" w:lineRule="atLeast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>4.3.</w:t>
      </w:r>
      <w:r>
        <w:rPr>
          <w:rFonts w:ascii="Arial" w:hAnsi="Arial" w:cs="Arial"/>
          <w:color w:val="000000"/>
          <w:sz w:val="21"/>
          <w:szCs w:val="21"/>
        </w:rPr>
        <w:t xml:space="preserve"> Deverá ser emitida a devida Nota fiscal/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fatura discriminativa, após a entrega dos produtos para efetivação do pagamento e liquidação</w:t>
      </w:r>
      <w:proofErr w:type="gramEnd"/>
      <w:r>
        <w:rPr>
          <w:rFonts w:ascii="Arial" w:hAnsi="Arial" w:cs="Arial"/>
          <w:color w:val="000000"/>
          <w:sz w:val="21"/>
          <w:szCs w:val="21"/>
        </w:rPr>
        <w:t>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color w:val="000000"/>
          <w:sz w:val="21"/>
          <w:szCs w:val="21"/>
        </w:rPr>
        <w:tab/>
        <w:t>4.4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Será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recusado o objeto que não atender às especificações constantes na presente Ata.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4.5.</w:t>
      </w:r>
      <w:r>
        <w:rPr>
          <w:rFonts w:ascii="Arial" w:hAnsi="Arial" w:cs="Arial"/>
          <w:color w:val="000000"/>
          <w:sz w:val="21"/>
          <w:szCs w:val="21"/>
        </w:rPr>
        <w:t xml:space="preserve"> Dentro do prazo de vigência contratual, a CONTRATADA está obrigada ao executar o objeto contratado, desde que obedecidas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as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condições do Pregão, conforme previsão do edital que precedeu a formalização dessa Ata.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4.6. </w:t>
      </w:r>
      <w:r>
        <w:rPr>
          <w:rFonts w:ascii="Arial" w:hAnsi="Arial" w:cs="Arial"/>
          <w:color w:val="000000"/>
          <w:sz w:val="21"/>
          <w:szCs w:val="21"/>
        </w:rPr>
        <w:t>A recusa da CONTRATADA em atender à substituição, levará à aplicação das sanções previstas por inadimplemento.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4.7. </w:t>
      </w:r>
      <w:r>
        <w:rPr>
          <w:rFonts w:ascii="Arial" w:hAnsi="Arial" w:cs="Arial"/>
          <w:color w:val="000000"/>
          <w:sz w:val="21"/>
          <w:szCs w:val="21"/>
        </w:rPr>
        <w:t>A Secretaria Municipal de Planejamento, Orçamento e Projetos - SMPOP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, poderá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promover ampla pesquisa no mercado, de forma a comprovar que os preços registrados permanecem compatíveis com os nele praticados, condição indispensável para a solicitação da aquisição.</w:t>
      </w:r>
    </w:p>
    <w:p w:rsidR="00B666B5" w:rsidRDefault="00B666B5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CLAUSULA QUINTA – Das Condições de Pagamento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color w:val="000000"/>
          <w:sz w:val="21"/>
          <w:szCs w:val="21"/>
        </w:rPr>
        <w:tab/>
        <w:t>5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.1. </w:t>
      </w:r>
      <w:r>
        <w:rPr>
          <w:rFonts w:ascii="Arial" w:hAnsi="Arial" w:cs="Arial"/>
          <w:color w:val="000000"/>
          <w:sz w:val="21"/>
          <w:szCs w:val="21"/>
        </w:rPr>
        <w:t>Cumpridas as obrigações contratuais dispostas neste instrumento e no edital do Pregão, o pagamento será efetuado pela CONTRATANTE em até 30 (trinta) dias após a data da solicitação pela secretaria requisitante.</w:t>
      </w:r>
    </w:p>
    <w:p w:rsidR="00B666B5" w:rsidRDefault="00B666B5" w:rsidP="00B666B5">
      <w:pPr>
        <w:ind w:right="22"/>
        <w:jc w:val="both"/>
        <w:rPr>
          <w:rFonts w:ascii="Arial" w:hAnsi="Arial" w:cs="Arial"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5.2. </w:t>
      </w:r>
      <w:r>
        <w:rPr>
          <w:rFonts w:ascii="Arial" w:hAnsi="Arial" w:cs="Arial"/>
          <w:bCs/>
          <w:color w:val="000000"/>
          <w:sz w:val="21"/>
          <w:szCs w:val="21"/>
        </w:rPr>
        <w:t>A presente despesa será suportada pela(s) segui</w:t>
      </w:r>
      <w:r w:rsidR="00770557">
        <w:rPr>
          <w:rFonts w:ascii="Arial" w:hAnsi="Arial" w:cs="Arial"/>
          <w:bCs/>
          <w:color w:val="000000"/>
          <w:sz w:val="21"/>
          <w:szCs w:val="21"/>
        </w:rPr>
        <w:t>nte(s) rubrica(s) do ano de 2019, cujo elemento é:</w:t>
      </w:r>
    </w:p>
    <w:p w:rsidR="00770557" w:rsidRDefault="00770557" w:rsidP="00B666B5">
      <w:pPr>
        <w:ind w:right="22"/>
        <w:jc w:val="both"/>
        <w:rPr>
          <w:rFonts w:ascii="Arial" w:hAnsi="Arial" w:cs="Arial"/>
          <w:bCs/>
          <w:color w:val="000000"/>
          <w:sz w:val="21"/>
          <w:szCs w:val="21"/>
        </w:rPr>
      </w:pPr>
    </w:p>
    <w:p w:rsidR="00770557" w:rsidRPr="00770557" w:rsidRDefault="00770557" w:rsidP="00770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right="22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770557">
        <w:rPr>
          <w:rFonts w:ascii="Arial" w:hAnsi="Arial" w:cs="Arial"/>
          <w:b/>
          <w:bCs/>
          <w:color w:val="000000"/>
          <w:sz w:val="21"/>
          <w:szCs w:val="21"/>
        </w:rPr>
        <w:t>3.3.90.30.20.00.00.00</w:t>
      </w:r>
    </w:p>
    <w:p w:rsidR="00770557" w:rsidRDefault="00770557" w:rsidP="00B666B5">
      <w:pPr>
        <w:ind w:right="22"/>
        <w:jc w:val="both"/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5.3. </w:t>
      </w:r>
      <w:r>
        <w:rPr>
          <w:rFonts w:ascii="Arial" w:hAnsi="Arial" w:cs="Arial"/>
          <w:color w:val="000000"/>
          <w:sz w:val="21"/>
          <w:szCs w:val="21"/>
        </w:rPr>
        <w:t xml:space="preserve">O CNPJ/MF constante da Nota Fiscal deverá ser o mesmo indicado na proposta,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sob pena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de não ser efetuado o pagamento.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>5.4.</w:t>
      </w:r>
      <w:r>
        <w:rPr>
          <w:rFonts w:ascii="Arial" w:hAnsi="Arial" w:cs="Arial"/>
          <w:color w:val="000000"/>
          <w:sz w:val="21"/>
          <w:szCs w:val="21"/>
        </w:rPr>
        <w:t xml:space="preserve"> Nenhum pagamento será efetuado enquanto pendente de liquidação qualquer obrigação financeira que tenha sido imposta à CONTRATADA pela CONTRATANTE, em decorrência de penalidade ou inadimplência, nos termos da legislação vigente.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CLÁUSULA SEXTA – Da Entrega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6.1.</w:t>
      </w:r>
      <w:r>
        <w:rPr>
          <w:rFonts w:ascii="Arial" w:hAnsi="Arial" w:cs="Arial"/>
          <w:color w:val="000000"/>
          <w:sz w:val="21"/>
          <w:szCs w:val="21"/>
        </w:rPr>
        <w:t xml:space="preserve"> Obriga-se a CONTRATADA a executar o objeto deste instrumento em até </w:t>
      </w:r>
      <w:r w:rsidR="005454FA">
        <w:rPr>
          <w:rFonts w:ascii="Arial" w:hAnsi="Arial" w:cs="Arial"/>
          <w:b/>
          <w:bCs/>
          <w:color w:val="000000"/>
          <w:sz w:val="21"/>
          <w:szCs w:val="21"/>
        </w:rPr>
        <w:t>07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(</w:t>
      </w:r>
      <w:r w:rsidR="005454FA">
        <w:rPr>
          <w:rFonts w:ascii="Arial" w:hAnsi="Arial" w:cs="Arial"/>
          <w:b/>
          <w:bCs/>
          <w:color w:val="000000"/>
          <w:sz w:val="21"/>
          <w:szCs w:val="21"/>
        </w:rPr>
        <w:t>sete</w:t>
      </w:r>
      <w:r>
        <w:rPr>
          <w:rFonts w:ascii="Arial" w:hAnsi="Arial" w:cs="Arial"/>
          <w:b/>
          <w:bCs/>
          <w:color w:val="000000"/>
          <w:sz w:val="21"/>
          <w:szCs w:val="21"/>
        </w:rPr>
        <w:t>) dias</w:t>
      </w:r>
      <w:r>
        <w:rPr>
          <w:rFonts w:ascii="Arial" w:hAnsi="Arial" w:cs="Arial"/>
          <w:color w:val="000000"/>
          <w:sz w:val="21"/>
          <w:szCs w:val="21"/>
        </w:rPr>
        <w:t xml:space="preserve">, contados da Autorização de Fornecimento que será emitida pela secretaria requisitante. 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6.2. </w:t>
      </w:r>
      <w:r>
        <w:rPr>
          <w:rFonts w:ascii="Arial" w:hAnsi="Arial" w:cs="Arial"/>
          <w:color w:val="000000"/>
          <w:sz w:val="21"/>
          <w:szCs w:val="21"/>
        </w:rPr>
        <w:t xml:space="preserve">Por ocasião da execução, caso seja detectado que o objeto não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atendem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às especificações licitada e proposta, poderá o CONTRATANTE rejeitá-lo, obrigando-se a CONTRATADA a providenciar a substituição do bem não aceito, no prazo máximo de 05 (cinco) dias úteis, contados do recebimento pelo responsável técnico, garantindo-se ao CONTRATANTE as faculdades previstas no Código de Defesa do Consumidor.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lastRenderedPageBreak/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6.3. </w:t>
      </w:r>
      <w:r>
        <w:rPr>
          <w:rFonts w:ascii="Arial" w:hAnsi="Arial" w:cs="Arial"/>
          <w:color w:val="000000"/>
          <w:sz w:val="21"/>
          <w:szCs w:val="21"/>
        </w:rPr>
        <w:t>É vedada à CONTRATADA condicionar uma quantidade mínima de pedidos para providenciar a execução do objeto contratado.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6.4. </w:t>
      </w:r>
      <w:r>
        <w:rPr>
          <w:rFonts w:ascii="Arial" w:hAnsi="Arial" w:cs="Arial"/>
          <w:color w:val="000000"/>
          <w:sz w:val="21"/>
          <w:szCs w:val="21"/>
        </w:rPr>
        <w:t xml:space="preserve">A CONTRATADA deverá enviar o objeto contratado, solicitado pelo CONTRATANTE de forma imediata, independente da quantidade solicitada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sob pena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de incorrer as penalidades previstas na Clausula Oitava.</w:t>
      </w:r>
    </w:p>
    <w:p w:rsidR="00B666B5" w:rsidRDefault="00B666B5" w:rsidP="00B666B5">
      <w:pPr>
        <w:jc w:val="both"/>
        <w:rPr>
          <w:rFonts w:ascii="Arial" w:hAnsi="Arial" w:cs="Arial"/>
          <w:color w:val="000000"/>
          <w:sz w:val="21"/>
          <w:szCs w:val="21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CLÁUSULA SÉTIMA - Do Cancelamento Da Ata De Registro De Preços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7.1.</w:t>
      </w:r>
      <w:r>
        <w:rPr>
          <w:rFonts w:ascii="Arial" w:hAnsi="Arial" w:cs="Arial"/>
          <w:color w:val="000000"/>
          <w:sz w:val="21"/>
          <w:szCs w:val="21"/>
        </w:rPr>
        <w:t xml:space="preserve"> O Registro de determinado preço poderá ser cancelado, nas seguintes hipóteses: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a) quando a CONTRATADA não cumprir as obrigações constantes dessa Ata de Registro de Preços;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b) quando a CONTRATADA não aceitar reduzir o seu preço registrado se esse se tornar superior ao praticado no mercado;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c) quando a CONTRATADA solicitar o cancelamento por escrito, comprovando estar impossibilitado de cumprir as exigências desta Ata de Registro de Preços por fato superveniente, decorrentes de caso fortuito ou força maior;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d) cometimento de irregularidade grave no cumprimento de cláusulas contratuais, especificações e prazos, suficiente a ponto da CONTRATANTE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ter que promover a execução do objeto contratado, através da contratação de terceiros.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e) atraso injustificado na execução do objeto.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f) paralisação na execução do objeto contratado, sem justa causa, e prévia comunicação à CONTRATANTE.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g) subcontratação total ou parcial da execução do objeto contratado.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</w:r>
      <w:r>
        <w:rPr>
          <w:rFonts w:ascii="Arial" w:hAnsi="Arial" w:cs="Arial"/>
          <w:color w:val="000000"/>
          <w:sz w:val="21"/>
          <w:szCs w:val="21"/>
        </w:rPr>
        <w:t>h) associação do contratado com outrem, cessão ou transferência, total ou parcial, bem como a fusão, cisão ou incorporação, que afetem a boa execução do objeto contratado.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i) desatendimento das determinações regulares da autoridade designada para acompanhar e fiscalizar a sua execução, assim como de seus superiores.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j) cometimento reiterado de faltas na execução do objeto ora contratado.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k) decretação de falência, pedido de concordata ou instauração de insolvência civil da CONTRATADA.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l) dissolução da CONTRATADA.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m) Alteração social ou a modificação da finalidade ou da estrutura da empresa, que, a juízo da Administração Pública, prejudique a execução deste contrato.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7.2.</w:t>
      </w:r>
      <w:r>
        <w:rPr>
          <w:rFonts w:ascii="Arial" w:hAnsi="Arial" w:cs="Arial"/>
          <w:color w:val="000000"/>
          <w:sz w:val="21"/>
          <w:szCs w:val="21"/>
        </w:rPr>
        <w:t xml:space="preserve"> A comunicação do cancelamento do preço registrado será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formalizado em processo próprio e comunicada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por correspondência, com aviso de recebimento, assegurado o contraditório e a ampla defesa no prazo de 5 (cinco) dias úteis.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7.3.</w:t>
      </w:r>
      <w:r>
        <w:rPr>
          <w:rFonts w:ascii="Arial" w:hAnsi="Arial" w:cs="Arial"/>
          <w:color w:val="000000"/>
          <w:sz w:val="21"/>
          <w:szCs w:val="21"/>
        </w:rPr>
        <w:t xml:space="preserve"> No caso de se tornar desconhecido o endereço da CONTRATADA, a comunicação será feita por publicação na imprensa oficial, considerando-se, assim, para todos os efeitos, cancelado o preço registrado.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>7.4.</w:t>
      </w:r>
      <w:r>
        <w:rPr>
          <w:rFonts w:ascii="Arial" w:hAnsi="Arial" w:cs="Arial"/>
          <w:color w:val="000000"/>
          <w:sz w:val="21"/>
          <w:szCs w:val="21"/>
        </w:rPr>
        <w:t xml:space="preserve"> A rescisão contratual também se operará nos seguintes casos: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 xml:space="preserve">a) Razões de interesse público, de alta relevância e amplo conhecimento,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justificadas e determinadas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pela máxima autoridade da esfera administrativa a que está subordinada a CONTRATANTE, devidamente deduzidas em processo administrativo regularmente instaurado.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b) Supressão, unilateral por parte da CONTRATANTE, dos quantitativos dos serviços, acarretando modificação do valor inicial do contrato, além do limite permitido no artigo 65, parágrafo 1º, da Lei 8.666/93.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 xml:space="preserve">c) Suspensão de sua execução, por ordem escrita da CONTRATANTE por prazo superior a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120 (cento e vinte) dias, salvo caso de calamidade pública, grave perturbação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da ordem interna ou guerra.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lastRenderedPageBreak/>
        <w:tab/>
        <w:t>d) Atraso superior a 90 (noventa) dias dos pagamentos devidos pela CONTRATANTE, decorrentes de fornecimentos de materiais, salvo em caso de calamidade pública, grave perturbação da ordem interna ou guerra.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</w:r>
      <w:r>
        <w:rPr>
          <w:rFonts w:ascii="Arial" w:hAnsi="Arial" w:cs="Arial"/>
          <w:color w:val="000000"/>
          <w:sz w:val="21"/>
          <w:szCs w:val="21"/>
        </w:rPr>
        <w:t>e) Ocorrência de caso fortuito ou força maior, regularmente comprovada, impeditiva da execução do contrato.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f) Descumprimento do disposto no inciso V, do art. 27 da Lei nº 8.666/93, com redação dada pela Lei nº 9.854, de 27 de outubro de 1.999.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7.5. </w:t>
      </w:r>
      <w:r>
        <w:rPr>
          <w:rFonts w:ascii="Arial" w:hAnsi="Arial" w:cs="Arial"/>
          <w:color w:val="000000"/>
          <w:sz w:val="21"/>
          <w:szCs w:val="21"/>
        </w:rPr>
        <w:t>A rescisão deste contrato poderá ser: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a) Amigável, por acordo entre as partes, reduzida a termo no processo da licitação, desde que haja conveniência para a CONTRATANTE.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b) Judicial, nos termos da legislação processual, vigente à época da rescisão contratual.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7.6. </w:t>
      </w:r>
      <w:r>
        <w:rPr>
          <w:rFonts w:ascii="Arial" w:hAnsi="Arial" w:cs="Arial"/>
          <w:color w:val="000000"/>
          <w:sz w:val="21"/>
          <w:szCs w:val="21"/>
        </w:rPr>
        <w:t>Nos casos de rescisão administrativa ou amigável, haverá precedência de autorização escrita e fundamentada da CONTRATANTE.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7.7. </w:t>
      </w:r>
      <w:r>
        <w:rPr>
          <w:rFonts w:ascii="Arial" w:hAnsi="Arial" w:cs="Arial"/>
          <w:color w:val="000000"/>
          <w:sz w:val="21"/>
          <w:szCs w:val="21"/>
        </w:rPr>
        <w:t>No caso de rescisão do contrato com fundamento em razões descritas nas alíneas “a” a “d” do item 7.4, será a CONTRATADA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ressarcida dos prejuízos regularmente comprovados que houver sofrido, tendo, ainda, direito a pagamentos devidos pela execução do objeto contratado até a data da rescisão.</w:t>
      </w:r>
    </w:p>
    <w:p w:rsidR="00B666B5" w:rsidRDefault="00B666B5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  <w:u w:val="single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 xml:space="preserve">CLÁUSULA OITAVA - Das Penalidades 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8.1.</w:t>
      </w:r>
      <w:r>
        <w:rPr>
          <w:rFonts w:ascii="Arial" w:hAnsi="Arial" w:cs="Arial"/>
          <w:color w:val="000000"/>
          <w:sz w:val="21"/>
          <w:szCs w:val="21"/>
        </w:rPr>
        <w:t xml:space="preserve"> O não cumprimento das obrigações contratuais ensejará a aplicação das seguintes sanções, independentemente de outras previstas em lei: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a) Advertência por escrito.</w:t>
      </w:r>
    </w:p>
    <w:p w:rsidR="00B666B5" w:rsidRDefault="00B666B5" w:rsidP="00B666B5">
      <w:pPr>
        <w:tabs>
          <w:tab w:val="left" w:pos="713"/>
          <w:tab w:val="left" w:pos="1418"/>
          <w:tab w:val="left" w:pos="1701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 xml:space="preserve">b) Multa de 10 % (dez) sobre o valor empenhado, limitado este a 10 (dez) dias, após o qual será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considerado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inexecução contratual;</w:t>
      </w:r>
    </w:p>
    <w:p w:rsidR="00B666B5" w:rsidRDefault="00B666B5" w:rsidP="00B666B5">
      <w:pPr>
        <w:tabs>
          <w:tab w:val="left" w:pos="713"/>
          <w:tab w:val="left" w:pos="1008"/>
          <w:tab w:val="left" w:pos="1418"/>
          <w:tab w:val="left" w:pos="1701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c) No caso de inexecução do contrato, a CONTRATADA será:</w:t>
      </w:r>
    </w:p>
    <w:p w:rsidR="00B666B5" w:rsidRDefault="00B666B5" w:rsidP="00B666B5">
      <w:pPr>
        <w:tabs>
          <w:tab w:val="left" w:pos="713"/>
          <w:tab w:val="left" w:pos="1008"/>
          <w:tab w:val="left" w:pos="1418"/>
          <w:tab w:val="left" w:pos="1701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proofErr w:type="gramStart"/>
      <w:r>
        <w:rPr>
          <w:rFonts w:ascii="Arial" w:hAnsi="Arial" w:cs="Arial"/>
          <w:color w:val="000000"/>
          <w:sz w:val="21"/>
          <w:szCs w:val="21"/>
        </w:rPr>
        <w:t>c.</w:t>
      </w:r>
      <w:proofErr w:type="gramEnd"/>
      <w:r>
        <w:rPr>
          <w:rFonts w:ascii="Arial" w:hAnsi="Arial" w:cs="Arial"/>
          <w:color w:val="000000"/>
          <w:sz w:val="21"/>
          <w:szCs w:val="21"/>
        </w:rPr>
        <w:t>1) Suspensa temporária de participar em licitação e impedida de contratar com a Administração por 02 (dois) anos.</w:t>
      </w:r>
    </w:p>
    <w:p w:rsidR="00B666B5" w:rsidRDefault="00B666B5" w:rsidP="00B666B5">
      <w:pPr>
        <w:tabs>
          <w:tab w:val="left" w:pos="713"/>
          <w:tab w:val="left" w:pos="1008"/>
          <w:tab w:val="left" w:pos="1418"/>
          <w:tab w:val="left" w:pos="1701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proofErr w:type="gramStart"/>
      <w:r>
        <w:rPr>
          <w:rFonts w:ascii="Arial" w:hAnsi="Arial" w:cs="Arial"/>
          <w:color w:val="000000"/>
          <w:sz w:val="21"/>
          <w:szCs w:val="21"/>
        </w:rPr>
        <w:t>c.</w:t>
      </w:r>
      <w:proofErr w:type="gramEnd"/>
      <w:r>
        <w:rPr>
          <w:rFonts w:ascii="Arial" w:hAnsi="Arial" w:cs="Arial"/>
          <w:color w:val="000000"/>
          <w:sz w:val="21"/>
          <w:szCs w:val="21"/>
        </w:rPr>
        <w:t>2) Declarada de inidônea para licitar ou contratar com a Administração Pública.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 xml:space="preserve">d) As sanções previstas nos itens acima mencionados admitem defesa prévia do interessado no respectivo processo no prazo de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5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(cinco) dias úteis, com exceção da pena de declaração de inidoneidade, hipótese em que é facultada a defesa no prazo de 10 (dez) dias da abertura da vista.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e) As penalidades acima previstas são independentes entre si, podendo ser aplicadas isolada ou cumulativamente.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f) As multas aplicadas deverão ser recolhidas à conta da CONTRATANTE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 xml:space="preserve">no prazo de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5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(cinco) dias corridos a contar da data da notificação, podendo o seu valor ser descontado do documento de cobrança, na ocasião de seu pagamento.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g) As multas, quando não recolhidas ou descontadas no prazo descrito no item anterior deste contrato sofrerão reajuste pelo Índice Geral dos Preços de Mercado da Fundação Getúlio Vargas (IGPM/FGV).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h) Além das multas estabelecidas, a CONTRATANTE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poderá recusar os materiais, se a sua apresentação não estiver de acordo com o exigido na descrição do objeto deste contrato e não for corrigida imediatamente.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 xml:space="preserve">i) A ocorrência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ensejadora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da recusa em aceitar o objeto contratado pela CONTRATADA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pode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constituir motivo para aplicação do disposto nas alíneas "a" e "c" do presente item.</w:t>
      </w:r>
    </w:p>
    <w:p w:rsidR="00B666B5" w:rsidRDefault="00B666B5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  <w:u w:val="single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CLAUSULA NONA – Da Fiscalização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9.1.</w:t>
      </w:r>
      <w:r>
        <w:rPr>
          <w:rFonts w:ascii="Arial" w:hAnsi="Arial" w:cs="Arial"/>
          <w:color w:val="000000"/>
          <w:sz w:val="21"/>
          <w:szCs w:val="21"/>
        </w:rPr>
        <w:t xml:space="preserve"> Cabe a Secretaria requisitante fiscalizar rotineiramente o objeto da presente Ata, quanto à quantidade, qualidade e modo de fornecimento e/ou execução.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lastRenderedPageBreak/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9.2. </w:t>
      </w:r>
      <w:r>
        <w:rPr>
          <w:rFonts w:ascii="Arial" w:hAnsi="Arial" w:cs="Arial"/>
          <w:color w:val="000000"/>
          <w:sz w:val="21"/>
          <w:szCs w:val="21"/>
        </w:rPr>
        <w:t>Os fiscais da secretaria requisitante estão investidos do direito de recusar, em parte ou totalmente, o produto que não satisfaça as especificações estabelecidas ou que esteja sendo entregue inadequadamente ou que não atinja a finalidade que se destina.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9.3.</w:t>
      </w:r>
      <w:r>
        <w:rPr>
          <w:rFonts w:ascii="Arial" w:hAnsi="Arial" w:cs="Arial"/>
          <w:color w:val="000000"/>
          <w:sz w:val="21"/>
          <w:szCs w:val="21"/>
        </w:rPr>
        <w:t xml:space="preserve"> As irregularidades constatadas pela secretaria requisitante deverão ser comunicadas a Secretaria Municipal de Planejamento, Orçamento e Projetos - SMPOP, para que sejam tomadas as providências necessárias para corrigi-las ou, quando for o caso, aplicadas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as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penalidades previstas.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CLAUSULA DÉCIMA – Dos Casos Fortuitos Ou De Força Maior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>10.1.</w:t>
      </w:r>
      <w:r>
        <w:rPr>
          <w:rFonts w:ascii="Arial" w:hAnsi="Arial" w:cs="Arial"/>
          <w:color w:val="000000"/>
          <w:sz w:val="21"/>
          <w:szCs w:val="21"/>
        </w:rPr>
        <w:t xml:space="preserve"> Serão considerados casos fortuitos ou de força maior, para efeito de cancelamento da Ata de Registro de Preços ou não aplicação de sanções, os inadimplementos decorrentes das situações a seguir, quando vierem a atrasar a execução do objeto contratado: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a) greve geral;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b) calamidade pública;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c) interrupção dos meios de transporte;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 xml:space="preserve">d) condições meteorológicas excepcionalmente prejudiciais;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e</w:t>
      </w:r>
      <w:proofErr w:type="gramEnd"/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e) outros casos que se enquadrem no parágrafo único do art. 393 do Código Civil Brasileiro (Lei nº 10.406/2002).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10.2. </w:t>
      </w:r>
      <w:r>
        <w:rPr>
          <w:rFonts w:ascii="Arial" w:hAnsi="Arial" w:cs="Arial"/>
          <w:color w:val="000000"/>
          <w:sz w:val="21"/>
          <w:szCs w:val="21"/>
        </w:rPr>
        <w:t>Os casos acima enumerados devem ser satisfatoriamente justificados pela CONTRATADA.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10.3.</w:t>
      </w:r>
      <w:r>
        <w:rPr>
          <w:rFonts w:ascii="Arial" w:hAnsi="Arial" w:cs="Arial"/>
          <w:color w:val="000000"/>
          <w:sz w:val="21"/>
          <w:szCs w:val="21"/>
        </w:rPr>
        <w:t xml:space="preserve"> Sempre que ocorrerem situações que impliquem caso fortuito ou de força maior, o fato deverá ser comunicado a secretaria requisitante, até 24 (vinte e quatro) horas após a ocorrência.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CLAUSULA DÉCIMA PRIMEIRA - Das Alterações Contratuais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>11.1.</w:t>
      </w:r>
      <w:r>
        <w:rPr>
          <w:rFonts w:ascii="Arial" w:hAnsi="Arial" w:cs="Arial"/>
          <w:color w:val="000000"/>
          <w:sz w:val="21"/>
          <w:szCs w:val="21"/>
        </w:rPr>
        <w:t xml:space="preserve"> Este contrato poderá ser alterado na ocorrência de qualquer das hipóteses previstas no art. 65 da Lei nº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  </w:t>
      </w:r>
      <w:proofErr w:type="gramEnd"/>
      <w:r>
        <w:rPr>
          <w:rFonts w:ascii="Arial" w:hAnsi="Arial" w:cs="Arial"/>
          <w:color w:val="000000"/>
          <w:sz w:val="21"/>
          <w:szCs w:val="21"/>
        </w:rPr>
        <w:t>8.666/93 e alterações. Tais alterações serão celebradas mediante termo aditivo.</w:t>
      </w:r>
    </w:p>
    <w:p w:rsidR="00B666B5" w:rsidRDefault="00B666B5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CLAUSULA DÉCIMA SEGUNDA - Dos Casos Omissos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12.1.</w:t>
      </w:r>
      <w:r>
        <w:rPr>
          <w:rFonts w:ascii="Arial" w:hAnsi="Arial" w:cs="Arial"/>
          <w:color w:val="000000"/>
          <w:sz w:val="21"/>
          <w:szCs w:val="21"/>
        </w:rPr>
        <w:t xml:space="preserve"> Os casos omissos serão resolvidos pela Secretaria Municipal de Planejamento, Orçamento e Projetos - SMPOP, à luz da legislação, da jurisprudência e da doutrina aplicável à espécie.</w:t>
      </w:r>
    </w:p>
    <w:p w:rsidR="003C3D7C" w:rsidRDefault="003C3D7C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  <w:u w:val="single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CLÁUSULA DÉCIMA TERCEIRA – Do Foro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13.1. </w:t>
      </w:r>
      <w:r>
        <w:rPr>
          <w:rFonts w:ascii="Arial" w:hAnsi="Arial" w:cs="Arial"/>
          <w:color w:val="000000"/>
          <w:sz w:val="21"/>
          <w:szCs w:val="21"/>
        </w:rPr>
        <w:t>Fica eleito o foro da comarca de São Borja do Estado do Rio Grande do Sul, para dirimir quaisquer questões relativas a este contrato, com expressa renúncia de qualquer outro por mais privilegiado que seja.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E, por estarem justas e contratadas, as partes assinam o presente instrumento em 02 (duas) vias de igual teor e forma, na presença de duas (02) testemunhas abaixo, para que produza seus efeitos jurídicos.</w:t>
      </w:r>
    </w:p>
    <w:p w:rsidR="005454FA" w:rsidRDefault="005454FA" w:rsidP="003B28CD">
      <w:pPr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426992" w:rsidRDefault="00426992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426992" w:rsidRDefault="00426992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426992" w:rsidRDefault="00426992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426992" w:rsidRDefault="00426992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426992" w:rsidRDefault="00426992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426992" w:rsidRDefault="00426992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426992" w:rsidRDefault="00426992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426992" w:rsidRDefault="00426992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426992" w:rsidRDefault="00426992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426992" w:rsidRDefault="00426992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426992" w:rsidRDefault="00426992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426992" w:rsidRDefault="00426992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426992" w:rsidRDefault="00426992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B666B5" w:rsidRDefault="00B666B5" w:rsidP="00B666B5">
      <w:pPr>
        <w:jc w:val="right"/>
      </w:pPr>
      <w:r>
        <w:rPr>
          <w:rFonts w:ascii="Arial" w:hAnsi="Arial" w:cs="Arial"/>
          <w:color w:val="000000"/>
          <w:sz w:val="21"/>
          <w:szCs w:val="21"/>
        </w:rPr>
        <w:t xml:space="preserve">São Borja, </w:t>
      </w:r>
      <w:r w:rsidR="005454FA">
        <w:rPr>
          <w:rFonts w:ascii="Arial" w:hAnsi="Arial" w:cs="Arial"/>
          <w:color w:val="000000"/>
          <w:sz w:val="21"/>
          <w:szCs w:val="21"/>
        </w:rPr>
        <w:t>25</w:t>
      </w:r>
      <w:r>
        <w:rPr>
          <w:rFonts w:ascii="Arial" w:hAnsi="Arial" w:cs="Arial"/>
          <w:color w:val="000000"/>
          <w:sz w:val="21"/>
          <w:szCs w:val="21"/>
        </w:rPr>
        <w:t xml:space="preserve"> de </w:t>
      </w:r>
      <w:r w:rsidR="00DD3EF9">
        <w:rPr>
          <w:rFonts w:ascii="Arial" w:hAnsi="Arial" w:cs="Arial"/>
          <w:color w:val="000000"/>
          <w:sz w:val="21"/>
          <w:szCs w:val="21"/>
        </w:rPr>
        <w:t>Fevereiro</w:t>
      </w:r>
      <w:r>
        <w:rPr>
          <w:rFonts w:ascii="Arial" w:hAnsi="Arial" w:cs="Arial"/>
          <w:color w:val="000000"/>
          <w:sz w:val="21"/>
          <w:szCs w:val="21"/>
        </w:rPr>
        <w:t xml:space="preserve"> de 2019.</w:t>
      </w:r>
    </w:p>
    <w:p w:rsidR="00B666B5" w:rsidRDefault="00B666B5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B666B5" w:rsidRDefault="00B666B5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3C3D7C" w:rsidRDefault="003C3D7C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3C3D7C" w:rsidRDefault="003C3D7C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426992" w:rsidRDefault="00426992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426992" w:rsidRDefault="00426992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426992" w:rsidRDefault="00426992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426992" w:rsidRDefault="00426992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3B28CD">
      <w:pPr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357"/>
        <w:gridCol w:w="4357"/>
      </w:tblGrid>
      <w:tr w:rsidR="00B666B5" w:rsidTr="000451D0">
        <w:trPr>
          <w:jc w:val="center"/>
        </w:trPr>
        <w:tc>
          <w:tcPr>
            <w:tcW w:w="4357" w:type="dxa"/>
            <w:shd w:val="clear" w:color="auto" w:fill="auto"/>
          </w:tcPr>
          <w:p w:rsidR="00B666B5" w:rsidRDefault="00B666B5" w:rsidP="000451D0">
            <w:pPr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__________________________________</w:t>
            </w:r>
          </w:p>
          <w:p w:rsidR="00B666B5" w:rsidRDefault="00B666B5" w:rsidP="000451D0">
            <w:pPr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EDUARDO BONOTTO</w:t>
            </w:r>
          </w:p>
          <w:p w:rsidR="00B666B5" w:rsidRDefault="00B666B5" w:rsidP="000451D0">
            <w:pPr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PREFEITO </w:t>
            </w:r>
          </w:p>
          <w:p w:rsidR="00B666B5" w:rsidRDefault="00B666B5" w:rsidP="000451D0">
            <w:pPr>
              <w:jc w:val="center"/>
            </w:pPr>
          </w:p>
          <w:p w:rsidR="00B666B5" w:rsidRDefault="00B666B5" w:rsidP="000451D0">
            <w:pPr>
              <w:jc w:val="center"/>
            </w:pPr>
          </w:p>
        </w:tc>
        <w:tc>
          <w:tcPr>
            <w:tcW w:w="4357" w:type="dxa"/>
            <w:shd w:val="clear" w:color="auto" w:fill="auto"/>
          </w:tcPr>
          <w:p w:rsidR="00B666B5" w:rsidRDefault="00B666B5" w:rsidP="000451D0">
            <w:pPr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_________________________________</w:t>
            </w:r>
          </w:p>
          <w:p w:rsidR="00426992" w:rsidRDefault="00426992" w:rsidP="000451D0">
            <w:pPr>
              <w:snapToGri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QUERENCIA COMERCIAL E DISTRIBUIDORA LTDA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</w:p>
          <w:p w:rsidR="00B666B5" w:rsidRDefault="005454FA" w:rsidP="000451D0">
            <w:pPr>
              <w:snapToGrid w:val="0"/>
              <w:jc w:val="center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FORNECEDOR REGISTRADO</w:t>
            </w:r>
          </w:p>
          <w:p w:rsidR="00B666B5" w:rsidRDefault="00B666B5" w:rsidP="000451D0">
            <w:pPr>
              <w:snapToGri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B666B5" w:rsidRDefault="00B666B5" w:rsidP="000451D0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666B5" w:rsidTr="000451D0">
        <w:trPr>
          <w:jc w:val="center"/>
        </w:trPr>
        <w:tc>
          <w:tcPr>
            <w:tcW w:w="4357" w:type="dxa"/>
            <w:shd w:val="clear" w:color="auto" w:fill="auto"/>
          </w:tcPr>
          <w:p w:rsidR="00B666B5" w:rsidRDefault="00B666B5" w:rsidP="000451D0"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>TESTEMUNHA</w:t>
            </w:r>
          </w:p>
          <w:p w:rsidR="00B666B5" w:rsidRDefault="00B666B5" w:rsidP="000451D0"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NOME: 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.............................................................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</w:rPr>
              <w:t>CPF: .................................................................ASSINATURA: .................................................</w:t>
            </w:r>
          </w:p>
        </w:tc>
        <w:tc>
          <w:tcPr>
            <w:tcW w:w="4357" w:type="dxa"/>
            <w:shd w:val="clear" w:color="auto" w:fill="auto"/>
          </w:tcPr>
          <w:p w:rsidR="00B666B5" w:rsidRDefault="00B666B5" w:rsidP="000451D0"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>TESTEMUNHA</w:t>
            </w:r>
          </w:p>
          <w:p w:rsidR="00B666B5" w:rsidRDefault="00B666B5" w:rsidP="000451D0"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NOME: 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.............................................................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</w:rPr>
              <w:t>CPF: .................................................................ASSINATURA: ................................................</w:t>
            </w:r>
          </w:p>
        </w:tc>
      </w:tr>
    </w:tbl>
    <w:p w:rsidR="00441C1B" w:rsidRDefault="00351799"/>
    <w:sectPr w:rsidR="00441C1B" w:rsidSect="00545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4FA" w:rsidRDefault="005454FA" w:rsidP="005454FA">
      <w:r>
        <w:separator/>
      </w:r>
    </w:p>
  </w:endnote>
  <w:endnote w:type="continuationSeparator" w:id="0">
    <w:p w:rsidR="005454FA" w:rsidRDefault="005454FA" w:rsidP="005454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FA" w:rsidRDefault="005454FA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FA" w:rsidRDefault="005454FA" w:rsidP="005454FA">
    <w:pPr>
      <w:pStyle w:val="Rodap"/>
      <w:jc w:val="center"/>
    </w:pPr>
    <w:r>
      <w:rPr>
        <w:rFonts w:ascii="Verdana" w:eastAsia="Verdana" w:hAnsi="Verdana" w:cs="Verdana"/>
        <w:sz w:val="16"/>
        <w:szCs w:val="16"/>
      </w:rPr>
      <w:t xml:space="preserve">Vitor                    </w:t>
    </w:r>
    <w:r>
      <w:rPr>
        <w:rFonts w:ascii="Verdana" w:eastAsia="Verdana" w:hAnsi="Verdana" w:cs="Verdana"/>
        <w:sz w:val="14"/>
        <w:szCs w:val="14"/>
      </w:rPr>
      <w:t xml:space="preserve">        “</w:t>
    </w:r>
    <w:r>
      <w:rPr>
        <w:rFonts w:ascii="Verdana" w:hAnsi="Verdana" w:cs="Verdana"/>
        <w:sz w:val="14"/>
        <w:szCs w:val="14"/>
      </w:rPr>
      <w:t xml:space="preserve">SÃO BORJA – Terra dos Presidentes”                                                                            </w:t>
    </w:r>
    <w:r w:rsidR="00FB29F7">
      <w:rPr>
        <w:sz w:val="14"/>
        <w:szCs w:val="14"/>
      </w:rPr>
      <w:fldChar w:fldCharType="begin"/>
    </w:r>
    <w:r>
      <w:rPr>
        <w:sz w:val="14"/>
        <w:szCs w:val="14"/>
      </w:rPr>
      <w:instrText xml:space="preserve"> PAGE </w:instrText>
    </w:r>
    <w:r w:rsidR="00FB29F7">
      <w:rPr>
        <w:sz w:val="14"/>
        <w:szCs w:val="14"/>
      </w:rPr>
      <w:fldChar w:fldCharType="separate"/>
    </w:r>
    <w:r w:rsidR="00351799">
      <w:rPr>
        <w:noProof/>
        <w:sz w:val="14"/>
        <w:szCs w:val="14"/>
      </w:rPr>
      <w:t>1</w:t>
    </w:r>
    <w:r w:rsidR="00FB29F7">
      <w:rPr>
        <w:sz w:val="14"/>
        <w:szCs w:val="14"/>
      </w:rPr>
      <w:fldChar w:fldCharType="end"/>
    </w:r>
    <w:r>
      <w:rPr>
        <w:rFonts w:ascii="Verdana" w:hAnsi="Verdana" w:cs="Verdana"/>
        <w:sz w:val="14"/>
        <w:szCs w:val="14"/>
      </w:rPr>
      <w:t>/</w:t>
    </w:r>
    <w:r w:rsidR="00FB29F7">
      <w:rPr>
        <w:sz w:val="14"/>
        <w:szCs w:val="14"/>
      </w:rPr>
      <w:fldChar w:fldCharType="begin"/>
    </w:r>
    <w:r>
      <w:rPr>
        <w:sz w:val="14"/>
        <w:szCs w:val="14"/>
      </w:rPr>
      <w:instrText xml:space="preserve"> NUMPAGES \* ARABIC </w:instrText>
    </w:r>
    <w:r w:rsidR="00FB29F7">
      <w:rPr>
        <w:sz w:val="14"/>
        <w:szCs w:val="14"/>
      </w:rPr>
      <w:fldChar w:fldCharType="separate"/>
    </w:r>
    <w:r w:rsidR="00351799">
      <w:rPr>
        <w:noProof/>
        <w:sz w:val="14"/>
        <w:szCs w:val="14"/>
      </w:rPr>
      <w:t>6</w:t>
    </w:r>
    <w:r w:rsidR="00FB29F7">
      <w:rPr>
        <w:sz w:val="14"/>
        <w:szCs w:val="14"/>
      </w:rPr>
      <w:fldChar w:fldCharType="end"/>
    </w:r>
    <w:r>
      <w:rPr>
        <w:sz w:val="14"/>
        <w:szCs w:val="14"/>
      </w:rPr>
      <w:t xml:space="preserve">                    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FA" w:rsidRDefault="005454FA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4FA" w:rsidRDefault="005454FA" w:rsidP="005454FA">
      <w:r>
        <w:separator/>
      </w:r>
    </w:p>
  </w:footnote>
  <w:footnote w:type="continuationSeparator" w:id="0">
    <w:p w:rsidR="005454FA" w:rsidRDefault="005454FA" w:rsidP="005454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FA" w:rsidRDefault="005454FA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FA" w:rsidRDefault="005454FA" w:rsidP="005454FA">
    <w:pPr>
      <w:pStyle w:val="Cabealho"/>
      <w:jc w:val="center"/>
      <w:rPr>
        <w:b/>
      </w:rPr>
    </w:pPr>
  </w:p>
  <w:p w:rsidR="005454FA" w:rsidRDefault="005454FA" w:rsidP="005454FA">
    <w:pPr>
      <w:ind w:right="51"/>
      <w:jc w:val="center"/>
      <w:rPr>
        <w:rFonts w:ascii="Arial" w:hAnsi="Arial" w:cs="Arial"/>
        <w:b/>
        <w:sz w:val="16"/>
        <w:szCs w:val="16"/>
      </w:rPr>
    </w:pPr>
  </w:p>
  <w:p w:rsidR="005454FA" w:rsidRDefault="005454FA" w:rsidP="005454FA">
    <w:pPr>
      <w:ind w:right="51"/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noProof/>
        <w:sz w:val="16"/>
        <w:szCs w:val="16"/>
        <w:lang w:eastAsia="pt-BR"/>
      </w:rPr>
      <w:drawing>
        <wp:inline distT="0" distB="0" distL="0" distR="0">
          <wp:extent cx="643255" cy="632460"/>
          <wp:effectExtent l="19050" t="0" r="444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4" t="-31" r="-34" b="-31"/>
                  <a:stretch>
                    <a:fillRect/>
                  </a:stretch>
                </pic:blipFill>
                <pic:spPr bwMode="auto">
                  <a:xfrm>
                    <a:off x="0" y="0"/>
                    <a:ext cx="643255" cy="6324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454FA" w:rsidRDefault="005454FA" w:rsidP="005454FA">
    <w:pPr>
      <w:ind w:right="51"/>
      <w:jc w:val="center"/>
      <w:rPr>
        <w:rFonts w:ascii="Arial" w:hAnsi="Arial" w:cs="Arial"/>
        <w:b/>
        <w:sz w:val="16"/>
        <w:szCs w:val="16"/>
      </w:rPr>
    </w:pPr>
  </w:p>
  <w:p w:rsidR="005454FA" w:rsidRDefault="005454FA" w:rsidP="005454FA">
    <w:pPr>
      <w:ind w:right="51"/>
      <w:jc w:val="center"/>
    </w:pPr>
    <w:r>
      <w:rPr>
        <w:rFonts w:ascii="Arial" w:hAnsi="Arial" w:cs="Arial"/>
        <w:b/>
        <w:sz w:val="16"/>
        <w:szCs w:val="16"/>
      </w:rPr>
      <w:t>PREFEITURA MUNICIPAL DE SÃO BORJA</w:t>
    </w:r>
  </w:p>
  <w:p w:rsidR="005454FA" w:rsidRDefault="005454FA" w:rsidP="005454FA">
    <w:pPr>
      <w:jc w:val="center"/>
    </w:pPr>
    <w:r>
      <w:rPr>
        <w:rFonts w:ascii="Arial" w:hAnsi="Arial" w:cs="Arial"/>
        <w:sz w:val="16"/>
        <w:szCs w:val="16"/>
      </w:rPr>
      <w:t xml:space="preserve">CENTRO ADMINISTRATIVO SALVADOR LIONÇO PEIREIRA ALVAREZ </w:t>
    </w:r>
  </w:p>
  <w:p w:rsidR="005454FA" w:rsidRDefault="005454FA" w:rsidP="005454FA">
    <w:pPr>
      <w:pStyle w:val="Ttulo1"/>
      <w:tabs>
        <w:tab w:val="left" w:pos="0"/>
      </w:tabs>
      <w:spacing w:before="0"/>
    </w:pPr>
    <w:r>
      <w:rPr>
        <w:rFonts w:ascii="Arial" w:hAnsi="Arial" w:cs="Arial"/>
        <w:sz w:val="16"/>
        <w:szCs w:val="16"/>
      </w:rPr>
      <w:t xml:space="preserve">Secretaria Municipal de Planejamento, Orçamento e </w:t>
    </w:r>
    <w:proofErr w:type="gramStart"/>
    <w:r>
      <w:rPr>
        <w:rFonts w:ascii="Arial" w:hAnsi="Arial" w:cs="Arial"/>
        <w:sz w:val="16"/>
        <w:szCs w:val="16"/>
      </w:rPr>
      <w:t>Projetos</w:t>
    </w:r>
    <w:proofErr w:type="gramEnd"/>
  </w:p>
  <w:p w:rsidR="005454FA" w:rsidRDefault="005454FA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FA" w:rsidRDefault="005454FA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6B5"/>
    <w:rsid w:val="0000239C"/>
    <w:rsid w:val="002C1A95"/>
    <w:rsid w:val="002E7630"/>
    <w:rsid w:val="00351799"/>
    <w:rsid w:val="003B28CD"/>
    <w:rsid w:val="003C3D7C"/>
    <w:rsid w:val="00426992"/>
    <w:rsid w:val="00430BDF"/>
    <w:rsid w:val="005454FA"/>
    <w:rsid w:val="00770557"/>
    <w:rsid w:val="00855D35"/>
    <w:rsid w:val="00A4708C"/>
    <w:rsid w:val="00AC37F3"/>
    <w:rsid w:val="00AE46CD"/>
    <w:rsid w:val="00B0514D"/>
    <w:rsid w:val="00B666B5"/>
    <w:rsid w:val="00B8230D"/>
    <w:rsid w:val="00B84783"/>
    <w:rsid w:val="00DC5FC7"/>
    <w:rsid w:val="00DD3EF9"/>
    <w:rsid w:val="00E14B34"/>
    <w:rsid w:val="00FA225C"/>
    <w:rsid w:val="00FA5187"/>
    <w:rsid w:val="00FB29F7"/>
    <w:rsid w:val="00FB3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6B5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tulo1">
    <w:name w:val="heading 1"/>
    <w:basedOn w:val="Normal"/>
    <w:next w:val="Normal"/>
    <w:link w:val="Ttulo1Char"/>
    <w:qFormat/>
    <w:rsid w:val="005454FA"/>
    <w:pPr>
      <w:keepNext/>
      <w:numPr>
        <w:numId w:val="1"/>
      </w:numPr>
      <w:spacing w:before="120"/>
      <w:jc w:val="center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rsid w:val="00B666B5"/>
    <w:pPr>
      <w:spacing w:before="120"/>
      <w:jc w:val="both"/>
    </w:pPr>
    <w:rPr>
      <w:sz w:val="24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B666B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abealho">
    <w:name w:val="header"/>
    <w:basedOn w:val="Normal"/>
    <w:link w:val="CabealhoChar"/>
    <w:unhideWhenUsed/>
    <w:rsid w:val="005454F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5454F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Rodap">
    <w:name w:val="footer"/>
    <w:basedOn w:val="Normal"/>
    <w:link w:val="RodapChar"/>
    <w:unhideWhenUsed/>
    <w:rsid w:val="005454F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5454FA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tulo1Char">
    <w:name w:val="Título 1 Char"/>
    <w:basedOn w:val="Fontepargpadro"/>
    <w:link w:val="Ttulo1"/>
    <w:rsid w:val="005454FA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454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454FA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2296</Words>
  <Characters>12403</Characters>
  <Application>Microsoft Office Word</Application>
  <DocSecurity>0</DocSecurity>
  <Lines>103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LaFamília</dc:creator>
  <cp:lastModifiedBy>LaFamília</cp:lastModifiedBy>
  <cp:revision>2</cp:revision>
  <dcterms:created xsi:type="dcterms:W3CDTF">2019-04-06T21:47:00Z</dcterms:created>
  <dcterms:modified xsi:type="dcterms:W3CDTF">2019-04-06T21:47:00Z</dcterms:modified>
</cp:coreProperties>
</file>