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791" y="0"/>
                <wp:lineTo x="-791" y="20313"/>
                <wp:lineTo x="21167" y="20313"/>
                <wp:lineTo x="21167" y="0"/>
                <wp:lineTo x="-791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3"/>
          <w:szCs w:val="23"/>
        </w:rPr>
        <w:t xml:space="preserve">                                      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  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ATA DE REUNIÃO N° </w:t>
      </w:r>
      <w:r>
        <w:rPr>
          <w:rFonts w:eastAsia="Lucida Sans Unicode" w:cs="Tahoma" w:ascii="Arial" w:hAnsi="Arial"/>
          <w:b/>
          <w:bCs/>
          <w:color w:val="000000"/>
          <w:sz w:val="21"/>
          <w:szCs w:val="21"/>
          <w:lang w:val="pt-BR" w:eastAsia="pt-BR" w:bidi="ar-SA"/>
        </w:rPr>
        <w:t>43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/2022 (Sequência: </w:t>
      </w:r>
      <w:r>
        <w:rPr>
          <w:rFonts w:eastAsia="Lucida Sans Unicode" w:cs="Tahoma" w:ascii="Arial" w:hAnsi="Arial"/>
          <w:b/>
          <w:bCs/>
          <w:color w:val="000000"/>
          <w:sz w:val="21"/>
          <w:szCs w:val="21"/>
          <w:lang w:val="pt-BR" w:eastAsia="pt-BR" w:bidi="ar-SA"/>
        </w:rPr>
        <w:t>1</w:t>
      </w:r>
      <w:r>
        <w:rPr>
          <w:rFonts w:ascii="Arial" w:hAnsi="Arial"/>
          <w:b/>
          <w:bCs/>
          <w:color w:val="000000"/>
          <w:sz w:val="21"/>
          <w:szCs w:val="21"/>
        </w:rPr>
        <w:t>)</w:t>
      </w:r>
    </w:p>
    <w:p>
      <w:pPr>
        <w:pStyle w:val="Standard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color w:val="000000"/>
          <w:sz w:val="21"/>
          <w:szCs w:val="21"/>
        </w:rPr>
        <w:t xml:space="preserve">TOMADA DE PREÇOS n° </w:t>
      </w:r>
      <w:r>
        <w:rPr>
          <w:rFonts w:eastAsia="Lucida Sans Unicode" w:cs="Tahoma" w:ascii="Arial" w:hAnsi="Arial"/>
          <w:b/>
          <w:bCs/>
          <w:color w:val="000000"/>
          <w:sz w:val="21"/>
          <w:szCs w:val="21"/>
          <w:lang w:val="pt-BR" w:eastAsia="pt-BR" w:bidi="ar-SA"/>
        </w:rPr>
        <w:t>04</w:t>
      </w:r>
      <w:r>
        <w:rPr>
          <w:rFonts w:ascii="Arial" w:hAnsi="Arial"/>
          <w:b/>
          <w:bCs/>
          <w:color w:val="000000"/>
          <w:sz w:val="21"/>
          <w:szCs w:val="21"/>
        </w:rPr>
        <w:t>/2022</w:t>
      </w:r>
    </w:p>
    <w:p>
      <w:pPr>
        <w:pStyle w:val="Standard"/>
        <w:jc w:val="center"/>
        <w:rPr>
          <w:rFonts w:ascii="Arial" w:hAnsi="Arial"/>
          <w:b/>
          <w:b/>
          <w:bCs/>
          <w:color w:val="000000"/>
          <w:sz w:val="21"/>
          <w:szCs w:val="21"/>
        </w:rPr>
      </w:pPr>
      <w:r>
        <w:rPr>
          <w:rFonts w:ascii="Arial" w:hAnsi="Arial"/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vinte e um do mês 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>de fevereiro do ano de dois mil e vinte e dois (21</w:t>
      </w: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>/02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rFonts w:ascii="Arial" w:hAnsi="Arial"/>
          <w:b w:val="false"/>
          <w:bCs w:val="false"/>
          <w:color w:val="000000"/>
          <w:sz w:val="21"/>
          <w:szCs w:val="21"/>
        </w:rPr>
        <w:t xml:space="preserve">Comissão Permanente de Licitações nomeada pelo Decreto n. 19.303, de 11 de janeiro de 2022, formada pelos membros: ADRIANA PIEGAS DE SOUZA, servidora efetiva, neste ato desempenhando as atividades de Presidente SUBSTITUTA, MARINICE NIEDERAUER IENSEN, </w:t>
      </w:r>
      <w:r>
        <w:rPr>
          <w:rStyle w:val="Fontepargpadro1"/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>TATIANE GAVIÃO CAMARGO</w:t>
      </w:r>
      <w:r>
        <w:rPr>
          <w:rStyle w:val="Fontepargpadro1"/>
          <w:rFonts w:ascii="Arial" w:hAnsi="Arial"/>
          <w:b w:val="false"/>
          <w:bCs w:val="false"/>
          <w:color w:val="000000"/>
          <w:sz w:val="21"/>
          <w:szCs w:val="21"/>
        </w:rPr>
        <w:t xml:space="preserve">, servidores efetivos e BERNARDO CABELEIRA MONTEIRO, 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deliberar sobre</w:t>
      </w: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 a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 xml:space="preserve"> Tomada de Preços n° 04</w:t>
      </w: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>2022/PE/SMPOP-DCL, o qual tem por objeto C</w:t>
      </w:r>
      <w:r>
        <w:rPr>
          <w:rStyle w:val="Fontepargpadro"/>
          <w:rFonts w:eastAsia="Nimbus Roman No9 L" w:cs="Nimbus Roman No9 L" w:ascii="Arial" w:hAnsi="Arial"/>
          <w:b w:val="false"/>
          <w:bCs w:val="false"/>
          <w:color w:val="000000"/>
          <w:sz w:val="21"/>
          <w:szCs w:val="21"/>
        </w:rPr>
        <w:t xml:space="preserve">ontratação de empresa para prestação de serviços de coleta, com fornecimento dos recipientes, transporte, tratamento e destino final em aterro licenciado (próprio ou terceirizado) dos </w:t>
      </w:r>
      <w:r>
        <w:rPr>
          <w:rStyle w:val="Fontepargpadro"/>
          <w:rFonts w:eastAsia="Nimbus Roman No9 L" w:cs="Nimbus Roman No9 L" w:ascii="Arial" w:hAnsi="Arial"/>
          <w:b/>
          <w:bCs/>
          <w:color w:val="000000"/>
          <w:sz w:val="21"/>
          <w:szCs w:val="21"/>
        </w:rPr>
        <w:t>RESÍDUOS SÓLIDOS DE SERVIÇOS DE SAÚDE</w:t>
      </w:r>
      <w:r>
        <w:rPr>
          <w:rStyle w:val="Fontepargpadro"/>
          <w:rFonts w:eastAsia="Nimbus Roman No9 L" w:cs="Nimbus Roman No9 L" w:ascii="Arial" w:hAnsi="Arial"/>
          <w:b w:val="false"/>
          <w:bCs w:val="false"/>
          <w:color w:val="000000"/>
          <w:sz w:val="21"/>
          <w:szCs w:val="21"/>
        </w:rPr>
        <w:t xml:space="preserve"> dos grupos A, E e B</w:t>
      </w:r>
      <w:r>
        <w:rPr>
          <w:rFonts w:eastAsia="Arial" w:cs="Arial" w:ascii="Arial" w:hAnsi="Arial"/>
          <w:b w:val="false"/>
          <w:bCs w:val="false"/>
          <w:color w:val="000000"/>
          <w:sz w:val="21"/>
          <w:szCs w:val="21"/>
        </w:rPr>
        <w:t xml:space="preserve">. Registramos que no dia 17/02/2022, recebemos, via e-mail o pedido de impugnação da empresa CETRILIFE, onde solicita a exclusão da exigência constante no item 3.15, I e J. Verifica-se que a exigência não consta no rol de documentos constante nos art. 27 e 30 da Lei 8.666/1993, dessa forma a Presidente declara PROCEDENTE A IMPUGNAÇÃO APRESENTADA, devendo o edital ser suspenso para a devida retificação. Registramos ainda que no dia 18/02/2022, recebemos, via e-mail o pedido de impugnação da empresa Aborgama do Brasil, onde relata: </w:t>
      </w:r>
      <w:r>
        <w:rPr>
          <w:rFonts w:eastAsia="Arial" w:cs="Arial" w:ascii="Arial" w:hAnsi="Arial"/>
          <w:b w:val="false"/>
          <w:bCs w:val="false"/>
          <w:i/>
          <w:iCs/>
          <w:color w:val="000000"/>
          <w:sz w:val="21"/>
          <w:szCs w:val="21"/>
        </w:rPr>
        <w:t xml:space="preserve">a) divergência quanto à possibilidade de subcontratação. Da necessária </w:t>
      </w:r>
      <w:r>
        <w:rPr>
          <w:rFonts w:ascii="Arial" w:hAnsi="Arial"/>
          <w:i/>
          <w:iCs/>
          <w:sz w:val="21"/>
          <w:szCs w:val="21"/>
        </w:rPr>
        <w:t>possibilidade de subcontratação de parte do objeto licitado</w:t>
      </w:r>
      <w:r>
        <w:rPr>
          <w:rFonts w:eastAsia="Arial" w:cs="Arial" w:ascii="Arial" w:hAnsi="Arial"/>
          <w:b w:val="false"/>
          <w:bCs w:val="false"/>
          <w:i/>
          <w:iCs/>
          <w:color w:val="000000"/>
          <w:sz w:val="21"/>
          <w:szCs w:val="21"/>
        </w:rPr>
        <w:t xml:space="preserve">; b) Os documentos devem pertencer a mesma empresa (mesmo CNPJ), todos da Matriz ou todos da Filial; insubsistência da letra </w:t>
      </w:r>
      <w:r>
        <w:rPr>
          <w:rFonts w:ascii="Arial" w:hAnsi="Arial"/>
          <w:i/>
          <w:iCs/>
          <w:sz w:val="21"/>
          <w:szCs w:val="21"/>
        </w:rPr>
        <w:t xml:space="preserve">“d” do tópico de “observações” do anexo VII do edital. Inexistência de distinção entre matriz e filial, bem como entre filial e filial de uma mesma </w:t>
      </w:r>
      <w:r>
        <w:rPr>
          <w:rFonts w:cs="Nimbus Roman No9 L" w:ascii="Arial" w:hAnsi="Arial"/>
          <w:i/>
          <w:iCs/>
          <w:color w:val="000000"/>
          <w:sz w:val="21"/>
          <w:szCs w:val="21"/>
        </w:rPr>
        <w:t xml:space="preserve">pessoa jurídica; </w:t>
      </w:r>
      <w:r>
        <w:rPr>
          <w:rFonts w:eastAsia="Arial" w:cs="Arial" w:ascii="Arial" w:hAnsi="Arial"/>
          <w:b w:val="false"/>
          <w:bCs w:val="false"/>
          <w:i/>
          <w:iCs/>
          <w:color w:val="000000"/>
          <w:sz w:val="21"/>
          <w:szCs w:val="21"/>
        </w:rPr>
        <w:t xml:space="preserve">c) Da necessária retificação da legislação aplicável ao certame. A RESOLUÇÃO RDC ANVISA N° 306/2004, </w:t>
      </w:r>
      <w:r>
        <w:rPr>
          <w:rFonts w:ascii="Arial" w:hAnsi="Arial"/>
          <w:i/>
          <w:iCs/>
          <w:sz w:val="21"/>
          <w:szCs w:val="21"/>
        </w:rPr>
        <w:t>não está mais em vigor, torna-se indispensável a retificação do edital, fazendo-se excluir a legislação não mais em vigor, para constar expressamente a legislação em vigência, qual seja, a RESOLUÇÃO RDC ANVISA N° 222/2018.</w:t>
      </w:r>
      <w:r>
        <w:rPr>
          <w:rFonts w:ascii="Arial" w:hAnsi="Arial"/>
          <w:sz w:val="21"/>
          <w:szCs w:val="21"/>
        </w:rPr>
        <w:t xml:space="preserve"> Dessa forma </w:t>
      </w:r>
      <w:bookmarkStart w:id="0" w:name="__DdeLink__30423_2036830815"/>
      <w:r>
        <w:rPr>
          <w:rFonts w:ascii="Arial" w:hAnsi="Arial"/>
          <w:sz w:val="21"/>
          <w:szCs w:val="21"/>
        </w:rPr>
        <w:t xml:space="preserve">encaminho o pedido de impugnação apresentada pela empresa </w:t>
      </w:r>
      <w:r>
        <w:rPr>
          <w:rFonts w:eastAsia="Arial" w:cs="Arial" w:ascii="Arial" w:hAnsi="Arial"/>
          <w:b w:val="false"/>
          <w:bCs w:val="false"/>
          <w:color w:val="000000"/>
          <w:sz w:val="21"/>
          <w:szCs w:val="21"/>
        </w:rPr>
        <w:t>Aborgama do Brasil, para</w:t>
      </w:r>
      <w:r>
        <w:rPr>
          <w:rFonts w:ascii="Arial" w:hAnsi="Arial"/>
          <w:sz w:val="21"/>
          <w:szCs w:val="21"/>
        </w:rPr>
        <w:t xml:space="preserve"> a Secretaria Municipal da Saúde, para análise e parecer técnico quanto ao questionamento </w:t>
      </w:r>
      <w:r>
        <w:rPr>
          <w:rFonts w:ascii="Arial" w:hAnsi="Arial"/>
          <w:b/>
          <w:bCs/>
          <w:sz w:val="21"/>
          <w:szCs w:val="21"/>
        </w:rPr>
        <w:t>“C”</w:t>
      </w:r>
      <w:r>
        <w:rPr>
          <w:rFonts w:ascii="Arial" w:hAnsi="Arial"/>
          <w:sz w:val="21"/>
          <w:szCs w:val="21"/>
        </w:rPr>
        <w:t xml:space="preserve"> da legislação aplicável,</w:t>
      </w:r>
      <w:bookmarkEnd w:id="0"/>
      <w:r>
        <w:rPr>
          <w:rFonts w:ascii="Arial" w:hAnsi="Arial"/>
          <w:sz w:val="21"/>
          <w:szCs w:val="21"/>
        </w:rPr>
        <w:t xml:space="preserve"> os demais questionamentos serão respondidos por este departamento. 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 xml:space="preserve">Nada mais havendo, </w:t>
      </w: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>eu, Adriana Piegas de Souza, p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>residente, encerr</w:t>
      </w: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>ei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 xml:space="preserve"> os trabalhos da presente reunião, e lavr</w:t>
      </w: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>ei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 xml:space="preserve"> a presente ata, que após lida e achada conforme, segue assinada </w:t>
      </w:r>
      <w:r>
        <w:rPr>
          <w:rFonts w:eastAsia="Lucida Sans Unicode" w:cs="Tahoma" w:ascii="Arial" w:hAnsi="Arial"/>
          <w:b w:val="false"/>
          <w:bCs w:val="false"/>
          <w:color w:val="000000"/>
          <w:sz w:val="21"/>
          <w:szCs w:val="21"/>
          <w:lang w:val="pt-BR" w:eastAsia="pt-BR" w:bidi="ar-SA"/>
        </w:rPr>
        <w:t>por mim</w:t>
      </w:r>
      <w:r>
        <w:rPr>
          <w:rFonts w:ascii="Arial" w:hAnsi="Arial"/>
          <w:b w:val="false"/>
          <w:bCs w:val="false"/>
          <w:color w:val="000000"/>
          <w:sz w:val="21"/>
          <w:szCs w:val="21"/>
        </w:rPr>
        <w:t xml:space="preserve"> e pela </w:t>
      </w:r>
      <w:r>
        <w:rPr>
          <w:rStyle w:val="Fontepargpadro"/>
          <w:rFonts w:eastAsia="Lucida Sans Unicode" w:cs="Arial" w:ascii="Arial" w:hAnsi="Arial"/>
          <w:b w:val="false"/>
          <w:bCs w:val="false"/>
          <w:color w:val="000000"/>
          <w:kern w:val="2"/>
          <w:sz w:val="21"/>
          <w:szCs w:val="21"/>
          <w:u w:val="none"/>
          <w:lang w:val="pt-BR" w:eastAsia="zxx" w:bidi="zxx"/>
        </w:rPr>
        <w:t>Comissão de Licitações</w:t>
      </w:r>
    </w:p>
    <w:p>
      <w:pPr>
        <w:pStyle w:val="Standard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Comissão de Licitações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Adriana Piegas de Souza</w:t>
        <w:tab/>
        <w:tab/>
        <w:t>………………………………….     Presidente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Marinice Niederauer Iensen </w:t>
        <w:tab/>
        <w:tab/>
        <w:t>………………………………….     Membro da Comissão</w:t>
      </w:r>
      <w:r>
        <w:rPr>
          <w:rFonts w:eastAsia="Lucida Sans Unicode" w:cs="Tahoma" w:ascii="Arial" w:hAnsi="Arial"/>
          <w:color w:val="00000A"/>
          <w:kern w:val="2"/>
          <w:sz w:val="21"/>
          <w:szCs w:val="21"/>
          <w:lang w:val="pt-BR" w:eastAsia="zxx" w:bidi="zxx"/>
        </w:rPr>
        <w:t xml:space="preserve"> </w:t>
      </w:r>
    </w:p>
    <w:p>
      <w:pPr>
        <w:pStyle w:val="Normal"/>
        <w:jc w:val="both"/>
        <w:rPr>
          <w:rFonts w:ascii="Arial" w:hAnsi="Arial" w:eastAsia="Lucida Sans Unicode" w:cs="Tahoma"/>
          <w:color w:val="00000A"/>
          <w:kern w:val="2"/>
          <w:sz w:val="21"/>
          <w:szCs w:val="21"/>
          <w:lang w:val="pt-BR" w:eastAsia="zxx" w:bidi="zxx"/>
        </w:rPr>
      </w:pPr>
      <w:r>
        <w:rPr>
          <w:rFonts w:eastAsia="Lucida Sans Unicode" w:cs="Tahoma" w:ascii="Arial" w:hAnsi="Arial"/>
          <w:color w:val="00000A"/>
          <w:kern w:val="2"/>
          <w:sz w:val="21"/>
          <w:szCs w:val="21"/>
          <w:lang w:val="pt-BR" w:eastAsia="zxx" w:bidi="zxx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Style w:val="Fontepargpadro1"/>
          <w:rFonts w:eastAsia="Lucida Sans Unicode" w:cs="Tahoma" w:ascii="Arial" w:hAnsi="Arial"/>
          <w:b w:val="false"/>
          <w:bCs w:val="false"/>
          <w:color w:val="000000"/>
          <w:kern w:val="2"/>
          <w:sz w:val="21"/>
          <w:szCs w:val="21"/>
          <w:lang w:val="pt-BR" w:eastAsia="pt-BR" w:bidi="ar-SA"/>
        </w:rPr>
        <w:t>Tatiane Gavião Camargo</w:t>
      </w:r>
      <w:r>
        <w:rPr>
          <w:rFonts w:eastAsia="Lucida Sans Unicode" w:cs="Tahoma" w:ascii="Arial" w:hAnsi="Arial"/>
          <w:color w:val="00000A"/>
          <w:kern w:val="2"/>
          <w:sz w:val="21"/>
          <w:szCs w:val="21"/>
          <w:lang w:val="pt-BR" w:eastAsia="zxx" w:bidi="zxx"/>
        </w:rPr>
        <w:t xml:space="preserve"> </w:t>
        <w:tab/>
        <w:tab/>
        <w:t>………………………………….     Membro da Comissão</w:t>
      </w:r>
    </w:p>
    <w:p>
      <w:pPr>
        <w:pStyle w:val="Normal"/>
        <w:jc w:val="both"/>
        <w:rPr>
          <w:rFonts w:ascii="Arial" w:hAnsi="Arial" w:eastAsia="Lucida Sans Unicode" w:cs="Tahoma"/>
          <w:color w:val="00000A"/>
          <w:kern w:val="2"/>
          <w:sz w:val="21"/>
          <w:szCs w:val="21"/>
          <w:lang w:val="pt-BR" w:eastAsia="zxx" w:bidi="zxx"/>
        </w:rPr>
      </w:pPr>
      <w:r>
        <w:rPr>
          <w:rFonts w:eastAsia="Lucida Sans Unicode" w:cs="Tahoma" w:ascii="Arial" w:hAnsi="Arial"/>
          <w:color w:val="00000A"/>
          <w:kern w:val="2"/>
          <w:sz w:val="21"/>
          <w:szCs w:val="21"/>
          <w:lang w:val="pt-BR" w:eastAsia="zxx" w:bidi="zxx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Style w:val="Fontepargpadro1"/>
          <w:rFonts w:eastAsia="Lucida Sans Unicode" w:cs="Tahoma" w:ascii="Arial" w:hAnsi="Arial"/>
          <w:b w:val="false"/>
          <w:bCs w:val="false"/>
          <w:color w:val="000000"/>
          <w:kern w:val="2"/>
          <w:sz w:val="21"/>
          <w:szCs w:val="21"/>
          <w:lang w:val="pt-BR" w:eastAsia="zxx" w:bidi="zxx"/>
        </w:rPr>
        <w:t>Bernardo Cabeleira Monteiro</w:t>
      </w:r>
      <w:r>
        <w:rPr>
          <w:rFonts w:eastAsia="Lucida Sans Unicode" w:cs="Tahoma" w:ascii="Arial" w:hAnsi="Arial"/>
          <w:color w:val="00000A"/>
          <w:kern w:val="2"/>
          <w:sz w:val="21"/>
          <w:szCs w:val="21"/>
          <w:lang w:val="pt-BR" w:eastAsia="zxx" w:bidi="zxx"/>
        </w:rPr>
        <w:tab/>
        <w:tab/>
        <w:t>.…………………………………     Membro da Comissão</w:t>
      </w:r>
    </w:p>
    <w:p>
      <w:pPr>
        <w:pStyle w:val="Normal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WWCharLFO3LVL1">
    <w:name w:val="WW_CharLFO3LVL1"/>
    <w:qFormat/>
    <w:rPr>
      <w:b w:val="false"/>
      <w:bCs w:val="false"/>
      <w:i/>
      <w:iCs/>
      <w:color w:val="000000"/>
    </w:rPr>
  </w:style>
  <w:style w:type="character" w:styleId="WWCharLFO3LVL2">
    <w:name w:val="WW_CharLFO3LVL2"/>
    <w:qFormat/>
    <w:rPr>
      <w:rFonts w:ascii="Symbol" w:hAnsi="Symbol" w:cs="Courier New"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Application>LibreOffice/6.0.1.1$Windows_X86_64 LibreOffice_project/60bfb1526849283ce2491346ed2aa51c465abfe6</Application>
  <Pages>1</Pages>
  <Words>478</Words>
  <Characters>2664</Characters>
  <CharactersWithSpaces>3193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dcterms:modified xsi:type="dcterms:W3CDTF">2022-02-21T09:44:26Z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